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8FB" w:rsidRPr="004C15D9" w:rsidRDefault="001658FB" w:rsidP="005F325F">
      <w:pPr>
        <w:pStyle w:val="BodyText2"/>
        <w:spacing w:after="0" w:line="240" w:lineRule="auto"/>
        <w:jc w:val="center"/>
        <w:rPr>
          <w:b/>
          <w:sz w:val="24"/>
          <w:szCs w:val="24"/>
        </w:rPr>
      </w:pPr>
      <w:r w:rsidRPr="004C15D9">
        <w:rPr>
          <w:b/>
          <w:sz w:val="24"/>
          <w:szCs w:val="24"/>
        </w:rPr>
        <w:t xml:space="preserve">SUMMARY TABLE ON </w:t>
      </w:r>
      <w:r w:rsidR="005F325F" w:rsidRPr="004C15D9">
        <w:rPr>
          <w:b/>
          <w:sz w:val="24"/>
          <w:szCs w:val="24"/>
        </w:rPr>
        <w:t xml:space="preserve">PROPOSED NON-BUDGET CHANGES TO THE INCOME TAX ACT </w:t>
      </w:r>
      <w:r w:rsidR="00AB2286" w:rsidRPr="004C15D9">
        <w:rPr>
          <w:b/>
          <w:sz w:val="24"/>
          <w:szCs w:val="24"/>
        </w:rPr>
        <w:t>(“ITA”)</w:t>
      </w:r>
    </w:p>
    <w:p w:rsidR="001658FB" w:rsidRPr="004C15D9" w:rsidRDefault="001658FB" w:rsidP="001658FB">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958"/>
        <w:gridCol w:w="6680"/>
        <w:gridCol w:w="2437"/>
      </w:tblGrid>
      <w:tr w:rsidR="001658FB" w:rsidRPr="004C15D9" w:rsidTr="007B0C8A">
        <w:trPr>
          <w:tblHeader/>
          <w:jc w:val="center"/>
        </w:trPr>
        <w:tc>
          <w:tcPr>
            <w:tcW w:w="338" w:type="pct"/>
            <w:shd w:val="clear" w:color="auto" w:fill="E5DFEC" w:themeFill="accent4" w:themeFillTint="33"/>
          </w:tcPr>
          <w:p w:rsidR="001658FB" w:rsidRPr="004C15D9" w:rsidRDefault="00632634" w:rsidP="00001C9D">
            <w:pPr>
              <w:rPr>
                <w:b/>
              </w:rPr>
            </w:pPr>
            <w:bookmarkStart w:id="0" w:name="OLE_LINK1"/>
            <w:r w:rsidRPr="004C15D9">
              <w:rPr>
                <w:b/>
              </w:rPr>
              <w:t>S/N</w:t>
            </w:r>
            <w:r w:rsidR="001658FB" w:rsidRPr="004C15D9">
              <w:rPr>
                <w:b/>
              </w:rPr>
              <w:t>.</w:t>
            </w:r>
          </w:p>
        </w:tc>
        <w:tc>
          <w:tcPr>
            <w:tcW w:w="1142" w:type="pct"/>
            <w:shd w:val="clear" w:color="auto" w:fill="E5DFEC" w:themeFill="accent4" w:themeFillTint="33"/>
          </w:tcPr>
          <w:p w:rsidR="001658FB" w:rsidRPr="004C15D9" w:rsidRDefault="001658FB" w:rsidP="00001C9D">
            <w:pPr>
              <w:rPr>
                <w:b/>
              </w:rPr>
            </w:pPr>
            <w:r w:rsidRPr="004C15D9">
              <w:rPr>
                <w:b/>
              </w:rPr>
              <w:t>Legislative Change</w:t>
            </w:r>
          </w:p>
        </w:tc>
        <w:tc>
          <w:tcPr>
            <w:tcW w:w="2579" w:type="pct"/>
            <w:shd w:val="clear" w:color="auto" w:fill="E5DFEC" w:themeFill="accent4" w:themeFillTint="33"/>
          </w:tcPr>
          <w:p w:rsidR="001658FB" w:rsidRPr="004C15D9" w:rsidRDefault="001658FB" w:rsidP="00001C9D">
            <w:pPr>
              <w:rPr>
                <w:b/>
              </w:rPr>
            </w:pPr>
            <w:r w:rsidRPr="004C15D9">
              <w:rPr>
                <w:b/>
              </w:rPr>
              <w:t>Brief Description of Legislative Change</w:t>
            </w:r>
          </w:p>
          <w:p w:rsidR="001658FB" w:rsidRPr="004C15D9" w:rsidRDefault="001658FB" w:rsidP="00001C9D">
            <w:pPr>
              <w:rPr>
                <w:b/>
              </w:rPr>
            </w:pPr>
          </w:p>
        </w:tc>
        <w:tc>
          <w:tcPr>
            <w:tcW w:w="941" w:type="pct"/>
            <w:shd w:val="clear" w:color="auto" w:fill="E5DFEC" w:themeFill="accent4" w:themeFillTint="33"/>
          </w:tcPr>
          <w:p w:rsidR="001658FB" w:rsidRPr="004C15D9" w:rsidRDefault="001658FB" w:rsidP="00001C9D">
            <w:pPr>
              <w:rPr>
                <w:b/>
              </w:rPr>
            </w:pPr>
            <w:r w:rsidRPr="004C15D9">
              <w:rPr>
                <w:b/>
              </w:rPr>
              <w:t xml:space="preserve">Amendment to </w:t>
            </w:r>
            <w:r w:rsidR="00A22837">
              <w:rPr>
                <w:b/>
              </w:rPr>
              <w:t>ITA</w:t>
            </w:r>
          </w:p>
          <w:p w:rsidR="001658FB" w:rsidRPr="004C15D9" w:rsidRDefault="001658FB" w:rsidP="00001C9D">
            <w:pPr>
              <w:rPr>
                <w:b/>
              </w:rPr>
            </w:pPr>
            <w:r w:rsidRPr="004C15D9">
              <w:rPr>
                <w:b/>
              </w:rPr>
              <w:t>[Clause in Income Tax (Amendment) Bill</w:t>
            </w:r>
            <w:r w:rsidR="004C15D9" w:rsidRPr="004C15D9">
              <w:rPr>
                <w:b/>
              </w:rPr>
              <w:t xml:space="preserve"> 2017</w:t>
            </w:r>
            <w:r w:rsidRPr="004C15D9">
              <w:rPr>
                <w:b/>
              </w:rPr>
              <w:t>]</w:t>
            </w:r>
          </w:p>
          <w:p w:rsidR="001658FB" w:rsidRPr="004C15D9" w:rsidRDefault="001658FB" w:rsidP="00001C9D">
            <w:pPr>
              <w:rPr>
                <w:b/>
              </w:rPr>
            </w:pPr>
          </w:p>
        </w:tc>
      </w:tr>
      <w:tr w:rsidR="00695EE9" w:rsidRPr="004C15D9" w:rsidTr="007B0C8A">
        <w:trPr>
          <w:jc w:val="center"/>
        </w:trPr>
        <w:tc>
          <w:tcPr>
            <w:tcW w:w="338" w:type="pct"/>
          </w:tcPr>
          <w:p w:rsidR="00695EE9" w:rsidRPr="004C15D9" w:rsidRDefault="00695EE9">
            <w:pPr>
              <w:widowControl w:val="0"/>
              <w:numPr>
                <w:ilvl w:val="0"/>
                <w:numId w:val="26"/>
              </w:numPr>
              <w:rPr>
                <w:rFonts w:eastAsia="PMingLiU"/>
                <w:b/>
              </w:rPr>
            </w:pPr>
          </w:p>
        </w:tc>
        <w:tc>
          <w:tcPr>
            <w:tcW w:w="1142" w:type="pct"/>
            <w:shd w:val="clear" w:color="auto" w:fill="auto"/>
          </w:tcPr>
          <w:p w:rsidR="00695EE9" w:rsidRPr="004C15D9" w:rsidRDefault="004C15D9" w:rsidP="004C15D9">
            <w:pPr>
              <w:jc w:val="both"/>
            </w:pPr>
            <w:r w:rsidRPr="004C15D9">
              <w:t>Introduce the requirement for mandatory Transfer Pricing (“TP”) Documentation requirements (“TPD”) and penalties for non-compliance</w:t>
            </w:r>
          </w:p>
        </w:tc>
        <w:tc>
          <w:tcPr>
            <w:tcW w:w="2579" w:type="pct"/>
          </w:tcPr>
          <w:p w:rsidR="00C27CE0" w:rsidRPr="004C15D9" w:rsidRDefault="00C27CE0" w:rsidP="00C27CE0">
            <w:pPr>
              <w:pStyle w:val="Default"/>
              <w:jc w:val="both"/>
            </w:pPr>
            <w:r w:rsidRPr="004C15D9">
              <w:t xml:space="preserve">To introduce a requirement to maintain contemporaneous and adequate TPD, and penalties for non-compliance from </w:t>
            </w:r>
            <w:r w:rsidR="00A22837">
              <w:t>(“</w:t>
            </w:r>
            <w:r w:rsidRPr="004C15D9">
              <w:t>YA</w:t>
            </w:r>
            <w:r w:rsidR="00A22837">
              <w:t xml:space="preserve">”) </w:t>
            </w:r>
            <w:r w:rsidRPr="004C15D9">
              <w:t>2019. This requirement is in line with IRAS’ existing TP Guidelines.</w:t>
            </w:r>
          </w:p>
          <w:p w:rsidR="00C27CE0" w:rsidRDefault="00C27CE0" w:rsidP="00C27CE0">
            <w:pPr>
              <w:pStyle w:val="Default"/>
              <w:jc w:val="both"/>
            </w:pPr>
          </w:p>
          <w:p w:rsidR="00C27CE0" w:rsidRPr="004C15D9" w:rsidRDefault="00C27CE0" w:rsidP="00C27CE0">
            <w:pPr>
              <w:pStyle w:val="Default"/>
              <w:jc w:val="both"/>
            </w:pPr>
            <w:r w:rsidRPr="00307CED">
              <w:rPr>
                <w:lang w:val="en-US"/>
              </w:rPr>
              <w:t xml:space="preserve">To limit compliance burden for smaller businesses, </w:t>
            </w:r>
            <w:r>
              <w:rPr>
                <w:lang w:val="en-US"/>
              </w:rPr>
              <w:t xml:space="preserve">this requirement </w:t>
            </w:r>
            <w:r w:rsidRPr="00307CED">
              <w:rPr>
                <w:lang w:val="en-US"/>
              </w:rPr>
              <w:t>will only apply to businesses with turnover exceeding $10m and significant related party transactions</w:t>
            </w:r>
            <w:r>
              <w:rPr>
                <w:lang w:val="en-US"/>
              </w:rPr>
              <w:t>.</w:t>
            </w:r>
          </w:p>
          <w:p w:rsidR="00C27CE0" w:rsidRPr="004C15D9" w:rsidRDefault="00C27CE0" w:rsidP="00C27CE0">
            <w:pPr>
              <w:jc w:val="both"/>
            </w:pPr>
          </w:p>
          <w:p w:rsidR="00C27CE0" w:rsidRPr="004C15D9" w:rsidRDefault="00C27CE0" w:rsidP="00C27CE0">
            <w:pPr>
              <w:jc w:val="both"/>
            </w:pPr>
            <w:r w:rsidRPr="004C15D9">
              <w:t>The amendment will take effect from YA</w:t>
            </w:r>
            <w:r w:rsidR="0098243D">
              <w:t xml:space="preserve"> </w:t>
            </w:r>
            <w:r w:rsidRPr="004C15D9">
              <w:t>2019.</w:t>
            </w:r>
          </w:p>
          <w:p w:rsidR="00695EE9" w:rsidRPr="004C15D9" w:rsidRDefault="00695EE9" w:rsidP="004C15D9">
            <w:pPr>
              <w:jc w:val="both"/>
            </w:pPr>
          </w:p>
        </w:tc>
        <w:tc>
          <w:tcPr>
            <w:tcW w:w="941" w:type="pct"/>
          </w:tcPr>
          <w:p w:rsidR="005D4BCA" w:rsidRDefault="004C15D9" w:rsidP="00001C9D">
            <w:r>
              <w:t xml:space="preserve">Section </w:t>
            </w:r>
            <w:r w:rsidR="0030139E" w:rsidRPr="00F817F8">
              <w:t>34F</w:t>
            </w:r>
          </w:p>
          <w:p w:rsidR="004C15D9" w:rsidRPr="004C15D9" w:rsidRDefault="004C15D9" w:rsidP="00C04425">
            <w:r>
              <w:t xml:space="preserve">[Clause </w:t>
            </w:r>
            <w:r w:rsidR="008D7584">
              <w:t>21</w:t>
            </w:r>
            <w:r w:rsidR="00C04425">
              <w:t xml:space="preserve"> </w:t>
            </w:r>
            <w:r>
              <w:t>]</w:t>
            </w:r>
          </w:p>
        </w:tc>
      </w:tr>
      <w:tr w:rsidR="00695EE9" w:rsidRPr="004C15D9" w:rsidTr="00F817F8">
        <w:trPr>
          <w:jc w:val="center"/>
        </w:trPr>
        <w:tc>
          <w:tcPr>
            <w:tcW w:w="338" w:type="pct"/>
          </w:tcPr>
          <w:p w:rsidR="00695EE9" w:rsidRPr="004C15D9" w:rsidRDefault="00695EE9">
            <w:pPr>
              <w:widowControl w:val="0"/>
              <w:numPr>
                <w:ilvl w:val="0"/>
                <w:numId w:val="26"/>
              </w:numPr>
              <w:rPr>
                <w:rFonts w:eastAsia="PMingLiU"/>
                <w:b/>
              </w:rPr>
            </w:pPr>
          </w:p>
        </w:tc>
        <w:tc>
          <w:tcPr>
            <w:tcW w:w="1142" w:type="pct"/>
            <w:shd w:val="clear" w:color="auto" w:fill="auto"/>
          </w:tcPr>
          <w:p w:rsidR="00695EE9" w:rsidRPr="00F817F8" w:rsidRDefault="0030139E" w:rsidP="001D2063">
            <w:pPr>
              <w:jc w:val="both"/>
            </w:pPr>
            <w:r w:rsidRPr="00F817F8">
              <w:t xml:space="preserve">Clarify existing </w:t>
            </w:r>
            <w:r w:rsidR="001D2063" w:rsidRPr="00F817F8">
              <w:t xml:space="preserve">Comptroller powers </w:t>
            </w:r>
            <w:r w:rsidRPr="00F817F8">
              <w:t>and introduce surcharge to enforce arm’s length principle</w:t>
            </w:r>
          </w:p>
        </w:tc>
        <w:tc>
          <w:tcPr>
            <w:tcW w:w="2579" w:type="pct"/>
            <w:shd w:val="clear" w:color="auto" w:fill="auto"/>
          </w:tcPr>
          <w:p w:rsidR="004C15D9" w:rsidRDefault="004C15D9" w:rsidP="004C15D9">
            <w:pPr>
              <w:pStyle w:val="Default"/>
              <w:jc w:val="both"/>
            </w:pPr>
            <w:r w:rsidRPr="00F817F8">
              <w:t xml:space="preserve">To </w:t>
            </w:r>
            <w:r w:rsidR="004611AD" w:rsidRPr="00F817F8">
              <w:t xml:space="preserve">provide greater clarity to existing section 34D which </w:t>
            </w:r>
            <w:r w:rsidRPr="00F817F8">
              <w:t>allow</w:t>
            </w:r>
            <w:r w:rsidR="004611AD" w:rsidRPr="00F817F8">
              <w:t>s</w:t>
            </w:r>
            <w:r w:rsidRPr="00F817F8">
              <w:t xml:space="preserve"> the Comptroller to enforce the arm’s length principle</w:t>
            </w:r>
            <w:r w:rsidR="004611AD" w:rsidRPr="00F817F8">
              <w:t>. The powers of the Comptroller for this purpose are elaborated or supplemented in the amendments</w:t>
            </w:r>
            <w:r w:rsidRPr="00F817F8">
              <w:t>:</w:t>
            </w:r>
          </w:p>
          <w:p w:rsidR="00C04425" w:rsidRPr="00F817F8" w:rsidRDefault="00C04425" w:rsidP="004C15D9">
            <w:pPr>
              <w:pStyle w:val="Default"/>
              <w:jc w:val="both"/>
            </w:pPr>
          </w:p>
          <w:p w:rsidR="004C15D9" w:rsidRPr="00F817F8" w:rsidRDefault="004C15D9" w:rsidP="004C15D9">
            <w:pPr>
              <w:pStyle w:val="ListParagraph"/>
              <w:numPr>
                <w:ilvl w:val="0"/>
                <w:numId w:val="33"/>
              </w:numPr>
              <w:contextualSpacing/>
              <w:jc w:val="both"/>
              <w:rPr>
                <w:rFonts w:eastAsia="SimSun"/>
                <w:color w:val="000000"/>
                <w:sz w:val="24"/>
                <w:szCs w:val="24"/>
                <w:lang w:val="en-GB" w:eastAsia="zh-CN"/>
              </w:rPr>
            </w:pPr>
            <w:r w:rsidRPr="00F817F8">
              <w:rPr>
                <w:rFonts w:eastAsia="SimSun"/>
                <w:color w:val="000000"/>
                <w:sz w:val="24"/>
                <w:szCs w:val="24"/>
                <w:lang w:val="en-GB" w:eastAsia="zh-CN"/>
              </w:rPr>
              <w:t xml:space="preserve">Disregard </w:t>
            </w:r>
            <w:r w:rsidR="0030139E" w:rsidRPr="00F817F8">
              <w:rPr>
                <w:rFonts w:eastAsia="SimSun"/>
                <w:color w:val="000000"/>
                <w:sz w:val="24"/>
                <w:szCs w:val="24"/>
                <w:lang w:val="en-GB" w:eastAsia="zh-CN"/>
              </w:rPr>
              <w:t>the form</w:t>
            </w:r>
            <w:r w:rsidRPr="00F817F8">
              <w:rPr>
                <w:rFonts w:eastAsia="SimSun"/>
                <w:color w:val="000000"/>
                <w:sz w:val="24"/>
                <w:szCs w:val="24"/>
                <w:lang w:val="en-GB" w:eastAsia="zh-CN"/>
              </w:rPr>
              <w:t xml:space="preserve"> </w:t>
            </w:r>
            <w:r w:rsidR="004611AD" w:rsidRPr="00F817F8">
              <w:rPr>
                <w:rFonts w:eastAsia="SimSun"/>
                <w:color w:val="000000"/>
                <w:sz w:val="24"/>
                <w:szCs w:val="24"/>
                <w:lang w:val="en-GB" w:eastAsia="zh-CN"/>
              </w:rPr>
              <w:t xml:space="preserve">where the substance of the transaction is </w:t>
            </w:r>
            <w:r w:rsidR="001D2063" w:rsidRPr="00F817F8">
              <w:rPr>
                <w:rFonts w:eastAsia="SimSun"/>
                <w:color w:val="000000"/>
                <w:sz w:val="24"/>
                <w:szCs w:val="24"/>
                <w:lang w:val="en-GB" w:eastAsia="zh-CN"/>
              </w:rPr>
              <w:t>in</w:t>
            </w:r>
            <w:r w:rsidR="004611AD" w:rsidRPr="00F817F8">
              <w:rPr>
                <w:rFonts w:eastAsia="SimSun"/>
                <w:color w:val="000000"/>
                <w:sz w:val="24"/>
                <w:szCs w:val="24"/>
                <w:lang w:val="en-GB" w:eastAsia="zh-CN"/>
              </w:rPr>
              <w:t>consistent with the form of the transaction</w:t>
            </w:r>
            <w:r w:rsidRPr="00F817F8">
              <w:rPr>
                <w:rFonts w:eastAsia="SimSun"/>
                <w:color w:val="000000"/>
                <w:sz w:val="24"/>
                <w:szCs w:val="24"/>
                <w:lang w:val="en-GB" w:eastAsia="zh-CN"/>
              </w:rPr>
              <w:t>;</w:t>
            </w:r>
            <w:r w:rsidR="004611AD" w:rsidRPr="00F817F8">
              <w:rPr>
                <w:rFonts w:eastAsia="SimSun"/>
                <w:color w:val="000000"/>
                <w:sz w:val="24"/>
                <w:szCs w:val="24"/>
                <w:lang w:val="en-GB" w:eastAsia="zh-CN"/>
              </w:rPr>
              <w:t xml:space="preserve"> and</w:t>
            </w:r>
          </w:p>
          <w:p w:rsidR="004C15D9" w:rsidRPr="00F817F8" w:rsidRDefault="004C15D9" w:rsidP="004C15D9">
            <w:pPr>
              <w:pStyle w:val="ListParagraph"/>
              <w:numPr>
                <w:ilvl w:val="0"/>
                <w:numId w:val="33"/>
              </w:numPr>
              <w:contextualSpacing/>
              <w:jc w:val="both"/>
              <w:rPr>
                <w:rFonts w:eastAsia="SimSun"/>
                <w:color w:val="000000"/>
                <w:sz w:val="24"/>
                <w:szCs w:val="24"/>
                <w:lang w:val="en-GB" w:eastAsia="zh-CN"/>
              </w:rPr>
            </w:pPr>
            <w:r w:rsidRPr="00F817F8">
              <w:rPr>
                <w:rFonts w:eastAsia="SimSun"/>
                <w:color w:val="000000"/>
                <w:sz w:val="24"/>
                <w:szCs w:val="24"/>
                <w:lang w:val="en-GB" w:eastAsia="zh-CN"/>
              </w:rPr>
              <w:t xml:space="preserve">Introduce </w:t>
            </w:r>
            <w:r w:rsidR="004611AD" w:rsidRPr="00F817F8">
              <w:rPr>
                <w:rFonts w:eastAsia="SimSun"/>
                <w:color w:val="000000"/>
                <w:sz w:val="24"/>
                <w:szCs w:val="24"/>
                <w:lang w:val="en-GB" w:eastAsia="zh-CN"/>
              </w:rPr>
              <w:t>a surcharge</w:t>
            </w:r>
            <w:r w:rsidR="001D2063" w:rsidRPr="00F817F8">
              <w:rPr>
                <w:rFonts w:eastAsia="SimSun"/>
                <w:color w:val="000000"/>
                <w:sz w:val="24"/>
                <w:szCs w:val="24"/>
                <w:lang w:val="en-GB" w:eastAsia="zh-CN"/>
              </w:rPr>
              <w:t xml:space="preserve"> </w:t>
            </w:r>
            <w:r w:rsidRPr="00F817F8">
              <w:rPr>
                <w:rFonts w:eastAsia="SimSun"/>
                <w:color w:val="000000"/>
                <w:sz w:val="24"/>
                <w:szCs w:val="24"/>
                <w:lang w:val="en-GB" w:eastAsia="zh-CN"/>
              </w:rPr>
              <w:t>for non-compliance with the arm’s length principle.</w:t>
            </w:r>
          </w:p>
          <w:p w:rsidR="004C15D9" w:rsidRPr="00F817F8" w:rsidRDefault="004C15D9" w:rsidP="004C15D9">
            <w:pPr>
              <w:pStyle w:val="Default"/>
              <w:jc w:val="both"/>
            </w:pPr>
          </w:p>
          <w:p w:rsidR="004C15D9" w:rsidRPr="00F817F8" w:rsidRDefault="004C15D9" w:rsidP="004C15D9">
            <w:pPr>
              <w:pStyle w:val="Default"/>
              <w:jc w:val="both"/>
            </w:pPr>
            <w:r w:rsidRPr="00F817F8">
              <w:t>To lift the statutory time limit of 4 years for the Comptroller to raise additional assessments for cases under the Mutual Agreement Procedures (“MAP”) process to give taxpayers certainty that the outcome of the MAP agreed with the relevant foreign competent authority can be given full effect by IRAS.</w:t>
            </w:r>
          </w:p>
          <w:p w:rsidR="004C15D9" w:rsidRPr="00F817F8" w:rsidRDefault="004C15D9" w:rsidP="004C15D9">
            <w:pPr>
              <w:pStyle w:val="Default"/>
              <w:jc w:val="both"/>
            </w:pPr>
          </w:p>
          <w:p w:rsidR="004C15D9" w:rsidRPr="00F817F8" w:rsidRDefault="004C15D9" w:rsidP="004C15D9">
            <w:pPr>
              <w:jc w:val="both"/>
            </w:pPr>
            <w:r w:rsidRPr="00F817F8">
              <w:t xml:space="preserve">To clarify that any claim for error or mistake under section 93A of the </w:t>
            </w:r>
            <w:r w:rsidR="00A22837" w:rsidRPr="00F817F8">
              <w:t>ITA</w:t>
            </w:r>
            <w:r w:rsidRPr="00F817F8">
              <w:rPr>
                <w:rStyle w:val="FootnoteReference"/>
              </w:rPr>
              <w:footnoteReference w:id="2"/>
            </w:r>
            <w:r w:rsidRPr="00F817F8">
              <w:t xml:space="preserve"> on transfer pricing must be supported by contemporaneous and adequate TPD.</w:t>
            </w:r>
          </w:p>
          <w:p w:rsidR="004C15D9" w:rsidRPr="00F817F8" w:rsidRDefault="004C15D9" w:rsidP="004C15D9">
            <w:pPr>
              <w:jc w:val="both"/>
            </w:pPr>
          </w:p>
          <w:p w:rsidR="00695EE9" w:rsidRPr="00F817F8" w:rsidRDefault="004C15D9" w:rsidP="004C15D9">
            <w:pPr>
              <w:jc w:val="both"/>
            </w:pPr>
            <w:r w:rsidRPr="00F817F8">
              <w:t>The amendments will take effect from the date the Amendment Act is published in the Gazette</w:t>
            </w:r>
            <w:r w:rsidR="00ED1470" w:rsidRPr="00F817F8">
              <w:t>.</w:t>
            </w:r>
            <w:r w:rsidR="0098243D" w:rsidRPr="00F817F8">
              <w:t xml:space="preserve"> For the surcharge, it will apply from YA 2019.</w:t>
            </w:r>
          </w:p>
          <w:p w:rsidR="0098243D" w:rsidRPr="00F817F8" w:rsidRDefault="0098243D" w:rsidP="004C15D9">
            <w:pPr>
              <w:jc w:val="both"/>
              <w:rPr>
                <w:rFonts w:eastAsiaTheme="minorEastAsia"/>
                <w:lang w:eastAsia="zh-CN"/>
              </w:rPr>
            </w:pPr>
          </w:p>
        </w:tc>
        <w:tc>
          <w:tcPr>
            <w:tcW w:w="941" w:type="pct"/>
            <w:shd w:val="clear" w:color="auto" w:fill="auto"/>
          </w:tcPr>
          <w:p w:rsidR="00695EE9" w:rsidRPr="00F817F8" w:rsidRDefault="004C15D9" w:rsidP="006F660E">
            <w:r w:rsidRPr="00F817F8">
              <w:t>Section</w:t>
            </w:r>
            <w:r w:rsidR="00A22837" w:rsidRPr="00F817F8">
              <w:t>s</w:t>
            </w:r>
            <w:r w:rsidR="0030139E" w:rsidRPr="00F817F8">
              <w:t xml:space="preserve"> </w:t>
            </w:r>
            <w:r w:rsidR="008D7584">
              <w:t xml:space="preserve">34D, </w:t>
            </w:r>
            <w:r w:rsidR="0030139E" w:rsidRPr="00F817F8">
              <w:t>34E</w:t>
            </w:r>
            <w:r w:rsidRPr="00F817F8">
              <w:t>, 74 and 93A</w:t>
            </w:r>
          </w:p>
          <w:p w:rsidR="004C15D9" w:rsidRPr="00F817F8" w:rsidRDefault="004C15D9" w:rsidP="006F660E"/>
          <w:p w:rsidR="004C15D9" w:rsidRPr="00F817F8" w:rsidRDefault="004C15D9" w:rsidP="00C04425">
            <w:r w:rsidRPr="00F817F8">
              <w:t xml:space="preserve">[Clauses </w:t>
            </w:r>
            <w:r w:rsidR="008D7584">
              <w:t>20, 21, 37 and 41</w:t>
            </w:r>
            <w:r w:rsidRPr="00F817F8">
              <w:t>]</w:t>
            </w:r>
          </w:p>
        </w:tc>
      </w:tr>
      <w:tr w:rsidR="00AE3EE9" w:rsidRPr="004C15D9" w:rsidTr="007B0C8A">
        <w:trPr>
          <w:jc w:val="center"/>
        </w:trPr>
        <w:tc>
          <w:tcPr>
            <w:tcW w:w="338" w:type="pct"/>
          </w:tcPr>
          <w:p w:rsidR="00AE3EE9" w:rsidRPr="004C15D9" w:rsidRDefault="00AE3EE9" w:rsidP="00AE3EE9">
            <w:pPr>
              <w:widowControl w:val="0"/>
              <w:numPr>
                <w:ilvl w:val="0"/>
                <w:numId w:val="26"/>
              </w:numPr>
              <w:rPr>
                <w:rFonts w:eastAsia="PMingLiU"/>
                <w:b/>
              </w:rPr>
            </w:pPr>
          </w:p>
        </w:tc>
        <w:tc>
          <w:tcPr>
            <w:tcW w:w="1142" w:type="pct"/>
            <w:shd w:val="clear" w:color="auto" w:fill="auto"/>
          </w:tcPr>
          <w:p w:rsidR="00AE3EE9" w:rsidRPr="004C15D9" w:rsidRDefault="00AE3EE9" w:rsidP="003208D1">
            <w:pPr>
              <w:jc w:val="both"/>
              <w:rPr>
                <w:rFonts w:eastAsiaTheme="minorEastAsia"/>
              </w:rPr>
            </w:pPr>
            <w:r w:rsidRPr="004C15D9">
              <w:t xml:space="preserve">Enable the Minister </w:t>
            </w:r>
            <w:r w:rsidR="003208D1">
              <w:t xml:space="preserve">for </w:t>
            </w:r>
            <w:r w:rsidRPr="004C15D9">
              <w:t xml:space="preserve">Finance to make an order to modify the provisions of an </w:t>
            </w:r>
            <w:r w:rsidR="003208D1">
              <w:t>A</w:t>
            </w:r>
            <w:r w:rsidR="003208D1" w:rsidRPr="004C15D9">
              <w:t xml:space="preserve">voidance </w:t>
            </w:r>
            <w:r w:rsidRPr="004C15D9">
              <w:t>of Double Taxation Agreement</w:t>
            </w:r>
          </w:p>
        </w:tc>
        <w:tc>
          <w:tcPr>
            <w:tcW w:w="2579" w:type="pct"/>
          </w:tcPr>
          <w:p w:rsidR="00AE3EE9" w:rsidRPr="004C15D9" w:rsidRDefault="00AE3EE9" w:rsidP="00AE3EE9">
            <w:pPr>
              <w:autoSpaceDE w:val="0"/>
              <w:autoSpaceDN w:val="0"/>
              <w:jc w:val="both"/>
              <w:rPr>
                <w:color w:val="000000"/>
              </w:rPr>
            </w:pPr>
            <w:r w:rsidRPr="004C15D9">
              <w:t xml:space="preserve">To enable Singapore to </w:t>
            </w:r>
            <w:r w:rsidR="004611AD">
              <w:t>implement</w:t>
            </w:r>
            <w:r w:rsidR="001C624B">
              <w:t xml:space="preserve"> its obligation</w:t>
            </w:r>
            <w:r w:rsidR="005073DE">
              <w:t>s</w:t>
            </w:r>
            <w:r w:rsidR="001C624B">
              <w:t xml:space="preserve"> under</w:t>
            </w:r>
            <w:r w:rsidR="004611AD">
              <w:t xml:space="preserve"> </w:t>
            </w:r>
            <w:r w:rsidRPr="004C15D9">
              <w:t xml:space="preserve">the Multilateral Convention to Implement Tax Treaty Related Measures to </w:t>
            </w:r>
            <w:r w:rsidR="003208D1">
              <w:t>P</w:t>
            </w:r>
            <w:r w:rsidR="003208D1" w:rsidRPr="004C15D9">
              <w:t xml:space="preserve">revent </w:t>
            </w:r>
            <w:r w:rsidRPr="004C15D9">
              <w:t xml:space="preserve">Base Erosion and Profit Shifting (also known as the Multilateral Instrument), which Singapore </w:t>
            </w:r>
            <w:r w:rsidR="0083564C">
              <w:t>has signed on</w:t>
            </w:r>
            <w:r w:rsidRPr="004C15D9">
              <w:t> 7 June 2017.</w:t>
            </w:r>
            <w:r w:rsidRPr="004C15D9">
              <w:rPr>
                <w:color w:val="000000"/>
              </w:rPr>
              <w:t xml:space="preserve">  </w:t>
            </w:r>
          </w:p>
          <w:p w:rsidR="00AE3EE9" w:rsidRPr="004C15D9" w:rsidRDefault="00AE3EE9" w:rsidP="00AE3EE9">
            <w:pPr>
              <w:autoSpaceDE w:val="0"/>
              <w:autoSpaceDN w:val="0"/>
              <w:jc w:val="both"/>
              <w:rPr>
                <w:color w:val="000000"/>
              </w:rPr>
            </w:pPr>
          </w:p>
          <w:p w:rsidR="00AE3EE9" w:rsidRPr="004C15D9" w:rsidRDefault="00AE3EE9" w:rsidP="00AE3EE9">
            <w:pPr>
              <w:autoSpaceDE w:val="0"/>
              <w:autoSpaceDN w:val="0"/>
              <w:jc w:val="both"/>
              <w:rPr>
                <w:lang w:val="en-SG" w:eastAsia="en-SG"/>
              </w:rPr>
            </w:pPr>
            <w:r w:rsidRPr="004C15D9">
              <w:t>The amendment will take effect from the date the Amendment Act is published in the Gazette</w:t>
            </w:r>
            <w:r w:rsidR="00ED1470" w:rsidRPr="0083564C">
              <w:t>.</w:t>
            </w:r>
          </w:p>
          <w:p w:rsidR="00AE3EE9" w:rsidRPr="004C15D9" w:rsidRDefault="00AE3EE9" w:rsidP="00AE3EE9">
            <w:pPr>
              <w:jc w:val="both"/>
            </w:pPr>
          </w:p>
        </w:tc>
        <w:tc>
          <w:tcPr>
            <w:tcW w:w="941" w:type="pct"/>
          </w:tcPr>
          <w:p w:rsidR="00AE3EE9" w:rsidRDefault="00AE3EE9" w:rsidP="00AE3EE9">
            <w:r>
              <w:t>Section 49</w:t>
            </w:r>
          </w:p>
          <w:p w:rsidR="00AE3EE9" w:rsidRDefault="00AE3EE9" w:rsidP="00C04425">
            <w:pPr>
              <w:jc w:val="both"/>
            </w:pPr>
            <w:r>
              <w:t xml:space="preserve">[Clause </w:t>
            </w:r>
            <w:r w:rsidR="008D7584">
              <w:t>36</w:t>
            </w:r>
            <w:r>
              <w:t>]</w:t>
            </w:r>
          </w:p>
        </w:tc>
      </w:tr>
      <w:tr w:rsidR="00AE3EE9" w:rsidRPr="004C15D9" w:rsidTr="007B0C8A">
        <w:trPr>
          <w:jc w:val="center"/>
        </w:trPr>
        <w:tc>
          <w:tcPr>
            <w:tcW w:w="338" w:type="pct"/>
          </w:tcPr>
          <w:p w:rsidR="00AE3EE9" w:rsidRPr="004C15D9" w:rsidRDefault="00AE3EE9" w:rsidP="00AE3EE9">
            <w:pPr>
              <w:widowControl w:val="0"/>
              <w:numPr>
                <w:ilvl w:val="0"/>
                <w:numId w:val="26"/>
              </w:numPr>
              <w:rPr>
                <w:rFonts w:eastAsia="PMingLiU"/>
                <w:b/>
              </w:rPr>
            </w:pPr>
          </w:p>
        </w:tc>
        <w:tc>
          <w:tcPr>
            <w:tcW w:w="1142" w:type="pct"/>
            <w:shd w:val="clear" w:color="auto" w:fill="auto"/>
          </w:tcPr>
          <w:p w:rsidR="00AE3EE9" w:rsidRPr="004C15D9" w:rsidRDefault="00AE3EE9" w:rsidP="00AE3EE9">
            <w:pPr>
              <w:jc w:val="both"/>
            </w:pPr>
            <w:r w:rsidRPr="004C15D9">
              <w:t>Introduce a tax framework for re-domiciliation</w:t>
            </w:r>
          </w:p>
        </w:tc>
        <w:tc>
          <w:tcPr>
            <w:tcW w:w="2579" w:type="pct"/>
          </w:tcPr>
          <w:p w:rsidR="00AE3EE9" w:rsidRPr="004C15D9" w:rsidRDefault="00AE3EE9" w:rsidP="00AE3EE9">
            <w:pPr>
              <w:pStyle w:val="Default"/>
              <w:jc w:val="both"/>
            </w:pPr>
            <w:r w:rsidRPr="004C15D9">
              <w:t>To introduce a tax framework for companies which re-domicile into Singapore under the inward re-domiciliation regime, introduced in</w:t>
            </w:r>
            <w:r w:rsidR="00615EF0">
              <w:t xml:space="preserve"> the Companies </w:t>
            </w:r>
            <w:r w:rsidR="0026346D">
              <w:t>(Amendment) Bill</w:t>
            </w:r>
            <w:r w:rsidRPr="004C15D9">
              <w:t xml:space="preserve"> 2017. Under the tax framework, amongst other changes, the re-domiciled company will be subject to the following tax treatment: </w:t>
            </w:r>
          </w:p>
          <w:p w:rsidR="00AE3EE9" w:rsidRPr="004C15D9" w:rsidRDefault="00AE3EE9" w:rsidP="00AE3EE9">
            <w:pPr>
              <w:contextualSpacing/>
              <w:jc w:val="both"/>
              <w:rPr>
                <w:rFonts w:eastAsia="SimSun"/>
                <w:color w:val="000000"/>
                <w:lang w:val="en-GB" w:eastAsia="zh-CN"/>
              </w:rPr>
            </w:pPr>
          </w:p>
          <w:p w:rsidR="00AE3EE9" w:rsidRPr="004C15D9" w:rsidRDefault="00AE3EE9" w:rsidP="00AE3EE9">
            <w:pPr>
              <w:pStyle w:val="ListParagraph"/>
              <w:numPr>
                <w:ilvl w:val="0"/>
                <w:numId w:val="34"/>
              </w:numPr>
              <w:contextualSpacing/>
              <w:jc w:val="both"/>
              <w:rPr>
                <w:rFonts w:eastAsia="SimSun"/>
                <w:color w:val="000000"/>
                <w:sz w:val="24"/>
                <w:szCs w:val="24"/>
                <w:lang w:val="en-GB" w:eastAsia="zh-CN"/>
              </w:rPr>
            </w:pPr>
            <w:r w:rsidRPr="004C15D9">
              <w:rPr>
                <w:rFonts w:eastAsia="SimSun"/>
                <w:color w:val="000000"/>
                <w:sz w:val="24"/>
                <w:szCs w:val="24"/>
                <w:lang w:val="en-GB" w:eastAsia="zh-CN"/>
              </w:rPr>
              <w:t xml:space="preserve">Allow </w:t>
            </w:r>
            <w:r w:rsidR="001A7376">
              <w:rPr>
                <w:rFonts w:eastAsia="SimSun"/>
                <w:color w:val="000000"/>
                <w:sz w:val="24"/>
                <w:szCs w:val="24"/>
                <w:lang w:val="en-GB" w:eastAsia="zh-CN"/>
              </w:rPr>
              <w:t xml:space="preserve">the </w:t>
            </w:r>
            <w:r w:rsidRPr="004C15D9">
              <w:rPr>
                <w:rFonts w:eastAsia="SimSun"/>
                <w:color w:val="000000"/>
                <w:sz w:val="24"/>
                <w:szCs w:val="24"/>
                <w:lang w:val="en-GB" w:eastAsia="zh-CN"/>
              </w:rPr>
              <w:t>claim</w:t>
            </w:r>
            <w:r w:rsidR="001A7376">
              <w:rPr>
                <w:rFonts w:eastAsia="SimSun"/>
                <w:color w:val="000000"/>
                <w:sz w:val="24"/>
                <w:szCs w:val="24"/>
                <w:lang w:val="en-GB" w:eastAsia="zh-CN"/>
              </w:rPr>
              <w:t xml:space="preserve"> of</w:t>
            </w:r>
            <w:r w:rsidRPr="004C15D9">
              <w:rPr>
                <w:rFonts w:eastAsia="SimSun"/>
                <w:color w:val="000000"/>
                <w:sz w:val="24"/>
                <w:szCs w:val="24"/>
                <w:lang w:val="en-GB" w:eastAsia="zh-CN"/>
              </w:rPr>
              <w:t xml:space="preserve"> capital allowances for transferred-in plants and machinery used for business in Singapore, based on the lower of their market value on the date of re-domiciliation or net book value;</w:t>
            </w:r>
          </w:p>
          <w:p w:rsidR="00AE3EE9" w:rsidRPr="004C15D9" w:rsidRDefault="00AE3EE9" w:rsidP="00AE3EE9">
            <w:pPr>
              <w:pStyle w:val="ListParagraph"/>
              <w:numPr>
                <w:ilvl w:val="0"/>
                <w:numId w:val="34"/>
              </w:numPr>
              <w:contextualSpacing/>
              <w:jc w:val="both"/>
              <w:rPr>
                <w:rFonts w:eastAsia="SimSun"/>
                <w:color w:val="000000"/>
                <w:sz w:val="24"/>
                <w:szCs w:val="24"/>
                <w:lang w:val="en-GB" w:eastAsia="zh-CN"/>
              </w:rPr>
            </w:pPr>
            <w:r w:rsidRPr="004C15D9">
              <w:rPr>
                <w:rFonts w:eastAsia="SimSun"/>
                <w:color w:val="000000"/>
                <w:sz w:val="24"/>
                <w:szCs w:val="24"/>
                <w:lang w:val="en-GB" w:eastAsia="zh-CN"/>
              </w:rPr>
              <w:t xml:space="preserve">Allow </w:t>
            </w:r>
            <w:r w:rsidR="001A7376">
              <w:rPr>
                <w:rFonts w:eastAsia="SimSun"/>
                <w:color w:val="000000"/>
                <w:sz w:val="24"/>
                <w:szCs w:val="24"/>
                <w:lang w:val="en-GB" w:eastAsia="zh-CN"/>
              </w:rPr>
              <w:t xml:space="preserve">the </w:t>
            </w:r>
            <w:r w:rsidRPr="004C15D9">
              <w:rPr>
                <w:rFonts w:eastAsia="SimSun"/>
                <w:color w:val="000000"/>
                <w:sz w:val="24"/>
                <w:szCs w:val="24"/>
                <w:lang w:val="en-GB" w:eastAsia="zh-CN"/>
              </w:rPr>
              <w:t>claim</w:t>
            </w:r>
            <w:r w:rsidR="001A7376">
              <w:rPr>
                <w:rFonts w:eastAsia="SimSun"/>
                <w:color w:val="000000"/>
                <w:sz w:val="24"/>
                <w:szCs w:val="24"/>
                <w:lang w:val="en-GB" w:eastAsia="zh-CN"/>
              </w:rPr>
              <w:t xml:space="preserve"> of</w:t>
            </w:r>
            <w:r w:rsidRPr="004C15D9">
              <w:rPr>
                <w:rFonts w:eastAsia="SimSun"/>
                <w:color w:val="000000"/>
                <w:sz w:val="24"/>
                <w:szCs w:val="24"/>
                <w:lang w:val="en-GB" w:eastAsia="zh-CN"/>
              </w:rPr>
              <w:t xml:space="preserve"> writing-down allowance for transferred-in intellectual property rights used for business in Singapore, based on the lower of their market value on the date of re-domiciliation or net intangible value; </w:t>
            </w:r>
          </w:p>
          <w:p w:rsidR="00AE3EE9" w:rsidRPr="004C15D9" w:rsidRDefault="00AE3EE9" w:rsidP="00AE3EE9">
            <w:pPr>
              <w:pStyle w:val="ListParagraph"/>
              <w:numPr>
                <w:ilvl w:val="0"/>
                <w:numId w:val="34"/>
              </w:numPr>
              <w:contextualSpacing/>
              <w:jc w:val="both"/>
              <w:rPr>
                <w:rFonts w:eastAsia="SimSun"/>
                <w:color w:val="000000"/>
                <w:sz w:val="24"/>
                <w:szCs w:val="24"/>
                <w:lang w:val="en-GB" w:eastAsia="zh-CN"/>
              </w:rPr>
            </w:pPr>
            <w:r w:rsidRPr="004C15D9">
              <w:rPr>
                <w:rFonts w:eastAsia="SimSun"/>
                <w:color w:val="000000"/>
                <w:sz w:val="24"/>
                <w:szCs w:val="24"/>
                <w:lang w:val="en-GB" w:eastAsia="zh-CN"/>
              </w:rPr>
              <w:t xml:space="preserve">Disallow the deduction of transferred-in trade receivables that have subsequently become bad or </w:t>
            </w:r>
            <w:r w:rsidR="001B4F5E">
              <w:rPr>
                <w:rFonts w:eastAsia="SimSun"/>
                <w:color w:val="000000"/>
                <w:sz w:val="24"/>
                <w:szCs w:val="24"/>
                <w:lang w:val="en-GB" w:eastAsia="zh-CN"/>
              </w:rPr>
              <w:t>impaired</w:t>
            </w:r>
            <w:r w:rsidRPr="004C15D9">
              <w:rPr>
                <w:rFonts w:eastAsia="SimSun"/>
                <w:color w:val="000000"/>
                <w:sz w:val="24"/>
                <w:szCs w:val="24"/>
                <w:lang w:val="en-GB" w:eastAsia="zh-CN"/>
              </w:rPr>
              <w:t xml:space="preserve"> after the re-domiciliation, and not tax all subsequent recoveries of the bad debts </w:t>
            </w:r>
            <w:r w:rsidR="001B4F5E">
              <w:rPr>
                <w:rFonts w:eastAsia="SimSun"/>
                <w:color w:val="000000"/>
                <w:sz w:val="24"/>
                <w:szCs w:val="24"/>
                <w:lang w:val="en-GB" w:eastAsia="zh-CN"/>
              </w:rPr>
              <w:t>or</w:t>
            </w:r>
            <w:r w:rsidR="00C47393">
              <w:rPr>
                <w:rFonts w:eastAsia="SimSun"/>
                <w:color w:val="000000"/>
                <w:sz w:val="24"/>
                <w:szCs w:val="24"/>
                <w:lang w:val="en-GB" w:eastAsia="zh-CN"/>
              </w:rPr>
              <w:t xml:space="preserve"> reversal of</w:t>
            </w:r>
            <w:r w:rsidR="001B4F5E">
              <w:rPr>
                <w:rFonts w:eastAsia="SimSun"/>
                <w:color w:val="000000"/>
                <w:sz w:val="24"/>
                <w:szCs w:val="24"/>
                <w:lang w:val="en-GB" w:eastAsia="zh-CN"/>
              </w:rPr>
              <w:t xml:space="preserve"> impairment losses </w:t>
            </w:r>
            <w:r w:rsidRPr="004C15D9">
              <w:rPr>
                <w:rFonts w:eastAsia="SimSun"/>
                <w:color w:val="000000"/>
                <w:sz w:val="24"/>
                <w:szCs w:val="24"/>
                <w:lang w:val="en-GB" w:eastAsia="zh-CN"/>
              </w:rPr>
              <w:t xml:space="preserve">that have not been allowed deduction. </w:t>
            </w:r>
          </w:p>
          <w:p w:rsidR="00AE3EE9" w:rsidRPr="004C15D9" w:rsidRDefault="00AE3EE9" w:rsidP="00AE3EE9">
            <w:pPr>
              <w:pStyle w:val="ListParagraph"/>
              <w:numPr>
                <w:ilvl w:val="0"/>
                <w:numId w:val="34"/>
              </w:numPr>
              <w:contextualSpacing/>
              <w:jc w:val="both"/>
              <w:rPr>
                <w:rFonts w:eastAsia="SimSun"/>
                <w:color w:val="000000"/>
                <w:sz w:val="24"/>
                <w:szCs w:val="24"/>
                <w:lang w:val="en-GB" w:eastAsia="zh-CN"/>
              </w:rPr>
            </w:pPr>
            <w:r w:rsidRPr="004C15D9">
              <w:rPr>
                <w:rFonts w:eastAsia="SimSun"/>
                <w:color w:val="000000"/>
                <w:sz w:val="24"/>
                <w:szCs w:val="24"/>
                <w:lang w:val="en-GB" w:eastAsia="zh-CN"/>
              </w:rPr>
              <w:t xml:space="preserve">Disallow the deduction for impairment loss and not tax reversal to impairment for financial assets on revenue account, unless gains or losses from the assets will be taxed or allowed in Singapore; </w:t>
            </w:r>
          </w:p>
          <w:p w:rsidR="00C15207" w:rsidRPr="004C15D9" w:rsidRDefault="00C15207" w:rsidP="00C15207">
            <w:pPr>
              <w:pStyle w:val="ListParagraph"/>
              <w:numPr>
                <w:ilvl w:val="0"/>
                <w:numId w:val="34"/>
              </w:numPr>
              <w:contextualSpacing/>
              <w:jc w:val="both"/>
              <w:rPr>
                <w:rFonts w:eastAsia="SimSun"/>
                <w:color w:val="000000"/>
                <w:sz w:val="24"/>
                <w:szCs w:val="24"/>
                <w:lang w:val="en-GB" w:eastAsia="zh-CN"/>
              </w:rPr>
            </w:pPr>
            <w:r w:rsidRPr="004C15D9">
              <w:rPr>
                <w:rFonts w:eastAsia="SimSun"/>
                <w:color w:val="000000"/>
                <w:sz w:val="24"/>
                <w:szCs w:val="24"/>
                <w:lang w:val="en-GB" w:eastAsia="zh-CN"/>
              </w:rPr>
              <w:t xml:space="preserve">Allow a tax credit to relieve </w:t>
            </w:r>
            <w:r w:rsidR="0056060F">
              <w:rPr>
                <w:rFonts w:eastAsia="SimSun"/>
                <w:color w:val="000000"/>
                <w:sz w:val="24"/>
                <w:szCs w:val="24"/>
                <w:lang w:val="en-GB" w:eastAsia="zh-CN"/>
              </w:rPr>
              <w:t>double taxation on Singapore sourced income</w:t>
            </w:r>
            <w:r w:rsidRPr="004C15D9">
              <w:rPr>
                <w:rFonts w:eastAsia="SimSun"/>
                <w:color w:val="000000"/>
                <w:sz w:val="24"/>
                <w:szCs w:val="24"/>
                <w:lang w:val="en-GB" w:eastAsia="zh-CN"/>
              </w:rPr>
              <w:t xml:space="preserve"> on a</w:t>
            </w:r>
            <w:r w:rsidR="0056060F">
              <w:rPr>
                <w:rFonts w:eastAsia="SimSun"/>
                <w:color w:val="000000"/>
                <w:sz w:val="24"/>
                <w:szCs w:val="24"/>
                <w:lang w:val="en-GB" w:eastAsia="zh-CN"/>
              </w:rPr>
              <w:t>n approval</w:t>
            </w:r>
            <w:r w:rsidRPr="004C15D9">
              <w:rPr>
                <w:rFonts w:eastAsia="SimSun"/>
                <w:color w:val="000000"/>
                <w:sz w:val="24"/>
                <w:szCs w:val="24"/>
                <w:lang w:val="en-GB" w:eastAsia="zh-CN"/>
              </w:rPr>
              <w:t xml:space="preserve"> basis;</w:t>
            </w:r>
            <w:r w:rsidR="0026346D">
              <w:rPr>
                <w:rFonts w:eastAsia="SimSun"/>
                <w:color w:val="000000"/>
                <w:sz w:val="24"/>
                <w:szCs w:val="24"/>
                <w:lang w:val="en-GB" w:eastAsia="zh-CN"/>
              </w:rPr>
              <w:t xml:space="preserve"> and</w:t>
            </w:r>
          </w:p>
          <w:p w:rsidR="00AE3EE9" w:rsidRPr="00C04425" w:rsidRDefault="00AE3EE9" w:rsidP="00AE3EE9">
            <w:pPr>
              <w:pStyle w:val="ListParagraph"/>
              <w:numPr>
                <w:ilvl w:val="0"/>
                <w:numId w:val="34"/>
              </w:numPr>
              <w:contextualSpacing/>
              <w:jc w:val="both"/>
              <w:rPr>
                <w:rFonts w:eastAsia="SimSun"/>
                <w:color w:val="000000"/>
                <w:sz w:val="24"/>
                <w:szCs w:val="24"/>
                <w:lang w:val="en-GB" w:eastAsia="zh-CN"/>
              </w:rPr>
            </w:pPr>
            <w:r w:rsidRPr="004C15D9">
              <w:rPr>
                <w:rFonts w:eastAsia="SimSun"/>
                <w:color w:val="000000"/>
                <w:sz w:val="24"/>
                <w:szCs w:val="24"/>
                <w:lang w:val="en-GB" w:eastAsia="zh-CN"/>
              </w:rPr>
              <w:t>Allow a deduction for the pre-commencement expenses incurred by a re-domiciled company that has not commenced business in the original jurisdiction.</w:t>
            </w:r>
          </w:p>
        </w:tc>
        <w:tc>
          <w:tcPr>
            <w:tcW w:w="941" w:type="pct"/>
          </w:tcPr>
          <w:p w:rsidR="00AE3EE9" w:rsidRDefault="00AE3EE9" w:rsidP="00AE3EE9">
            <w:r>
              <w:t>Section</w:t>
            </w:r>
            <w:r w:rsidR="00A22837">
              <w:t>s</w:t>
            </w:r>
            <w:r>
              <w:t xml:space="preserve"> 34G and 34H.</w:t>
            </w:r>
          </w:p>
          <w:p w:rsidR="00AE3EE9" w:rsidRPr="004C15D9" w:rsidRDefault="00C04425" w:rsidP="00C04425">
            <w:r>
              <w:t>[Clause</w:t>
            </w:r>
            <w:r w:rsidR="00AE3EE9">
              <w:t xml:space="preserve"> </w:t>
            </w:r>
            <w:r w:rsidR="008D7584">
              <w:t>22</w:t>
            </w:r>
            <w:r w:rsidR="00AE3EE9">
              <w:t>]</w:t>
            </w:r>
          </w:p>
        </w:tc>
      </w:tr>
      <w:tr w:rsidR="00AE3EE9" w:rsidRPr="004C15D9" w:rsidTr="007B0C8A">
        <w:trPr>
          <w:jc w:val="center"/>
        </w:trPr>
        <w:tc>
          <w:tcPr>
            <w:tcW w:w="338" w:type="pct"/>
          </w:tcPr>
          <w:p w:rsidR="00AE3EE9" w:rsidRPr="004C15D9" w:rsidRDefault="00AE3EE9" w:rsidP="00AE3EE9">
            <w:pPr>
              <w:widowControl w:val="0"/>
              <w:numPr>
                <w:ilvl w:val="0"/>
                <w:numId w:val="26"/>
              </w:numPr>
              <w:rPr>
                <w:rFonts w:eastAsia="PMingLiU"/>
                <w:b/>
              </w:rPr>
            </w:pPr>
          </w:p>
        </w:tc>
        <w:tc>
          <w:tcPr>
            <w:tcW w:w="1142" w:type="pct"/>
            <w:shd w:val="clear" w:color="auto" w:fill="auto"/>
          </w:tcPr>
          <w:p w:rsidR="00AE3EE9" w:rsidRPr="004C15D9" w:rsidRDefault="009B5913" w:rsidP="00AE3EE9">
            <w:pPr>
              <w:jc w:val="both"/>
            </w:pPr>
            <w:r w:rsidRPr="009B5913">
              <w:t>Increase the maximum amount of tax deduction and tax exemption for qualifying third-party voluntary contributions made to Medisave accounts of employees and self-employed persons (“SEPs”)</w:t>
            </w:r>
          </w:p>
        </w:tc>
        <w:tc>
          <w:tcPr>
            <w:tcW w:w="2579" w:type="pct"/>
          </w:tcPr>
          <w:p w:rsidR="009B5913" w:rsidRDefault="009B5913" w:rsidP="009B5913">
            <w:pPr>
              <w:jc w:val="both"/>
              <w:rPr>
                <w:rFonts w:eastAsia="SimSun"/>
                <w:bCs/>
                <w:color w:val="000000"/>
                <w:lang w:val="en-SG" w:eastAsia="zh-CN"/>
              </w:rPr>
            </w:pPr>
            <w:r w:rsidRPr="009B5913">
              <w:rPr>
                <w:rFonts w:eastAsia="SimSun"/>
                <w:bCs/>
                <w:color w:val="000000"/>
                <w:lang w:val="en-SG" w:eastAsia="zh-CN"/>
              </w:rPr>
              <w:t>With effect from 1 January 2018, the following changes will be made:</w:t>
            </w:r>
          </w:p>
          <w:p w:rsidR="00C04425" w:rsidRPr="009B5913" w:rsidRDefault="00C04425" w:rsidP="009B5913">
            <w:pPr>
              <w:jc w:val="both"/>
              <w:rPr>
                <w:rFonts w:eastAsia="SimSun"/>
                <w:bCs/>
                <w:color w:val="000000"/>
                <w:lang w:val="en-SG" w:eastAsia="zh-CN"/>
              </w:rPr>
            </w:pPr>
          </w:p>
          <w:p w:rsidR="009B5913" w:rsidRPr="009B5913" w:rsidRDefault="009B5913" w:rsidP="009B5913">
            <w:pPr>
              <w:pStyle w:val="ListParagraph"/>
              <w:numPr>
                <w:ilvl w:val="0"/>
                <w:numId w:val="35"/>
              </w:numPr>
              <w:contextualSpacing/>
              <w:jc w:val="both"/>
              <w:rPr>
                <w:rFonts w:eastAsia="SimSun"/>
                <w:bCs/>
                <w:color w:val="000000"/>
                <w:sz w:val="24"/>
                <w:szCs w:val="24"/>
                <w:lang w:val="en-SG" w:eastAsia="zh-CN"/>
              </w:rPr>
            </w:pPr>
            <w:r w:rsidRPr="009B5913">
              <w:rPr>
                <w:sz w:val="24"/>
                <w:szCs w:val="24"/>
              </w:rPr>
              <w:t>The maximum amount of contributions made by an employer per year to his employee’s Medisave account under the Additional Medisave Contribution Scheme (“AMCS”), which is not treated as income of the employee, will be raised from $1,500 to $2,730</w:t>
            </w:r>
            <w:r w:rsidRPr="009B5913">
              <w:rPr>
                <w:rFonts w:eastAsia="SimSun"/>
                <w:bCs/>
                <w:color w:val="000000"/>
                <w:sz w:val="24"/>
                <w:szCs w:val="24"/>
                <w:lang w:val="en-SG" w:eastAsia="zh-CN"/>
              </w:rPr>
              <w:t>;</w:t>
            </w:r>
          </w:p>
          <w:p w:rsidR="009B5913" w:rsidRPr="009B5913" w:rsidRDefault="009B5913" w:rsidP="009B5913">
            <w:pPr>
              <w:pStyle w:val="ListParagraph"/>
              <w:numPr>
                <w:ilvl w:val="0"/>
                <w:numId w:val="35"/>
              </w:numPr>
              <w:contextualSpacing/>
              <w:jc w:val="both"/>
              <w:rPr>
                <w:rFonts w:eastAsia="SimSun"/>
                <w:bCs/>
                <w:color w:val="000000"/>
                <w:sz w:val="24"/>
                <w:szCs w:val="24"/>
                <w:lang w:val="en-SG" w:eastAsia="zh-CN"/>
              </w:rPr>
            </w:pPr>
            <w:r w:rsidRPr="009B5913">
              <w:rPr>
                <w:rFonts w:eastAsia="SimSun"/>
                <w:bCs/>
                <w:color w:val="000000"/>
                <w:sz w:val="24"/>
                <w:szCs w:val="24"/>
                <w:lang w:val="en-SG" w:eastAsia="zh-CN"/>
              </w:rPr>
              <w:t>The maximum amount of contributions (that is treated as income</w:t>
            </w:r>
            <w:r w:rsidRPr="009B5913">
              <w:rPr>
                <w:rFonts w:eastAsia="SimSun"/>
                <w:sz w:val="24"/>
                <w:szCs w:val="24"/>
                <w:vertAlign w:val="superscript"/>
                <w:lang w:val="en-SG"/>
              </w:rPr>
              <w:footnoteReference w:id="3"/>
            </w:r>
            <w:r w:rsidRPr="009B5913">
              <w:rPr>
                <w:rFonts w:eastAsia="SimSun"/>
                <w:bCs/>
                <w:color w:val="000000"/>
                <w:sz w:val="24"/>
                <w:szCs w:val="24"/>
                <w:lang w:val="en-SG" w:eastAsia="zh-CN"/>
              </w:rPr>
              <w:t>) made by an eligible company per year to the Medisave account of an SEP with whom the eligible company works with that may be exempt from tax in the hands of the SEP will be increased from $1,500 to $2,730; and</w:t>
            </w:r>
          </w:p>
          <w:p w:rsidR="009B5913" w:rsidRPr="009B5913" w:rsidRDefault="009B5913" w:rsidP="009B5913">
            <w:pPr>
              <w:pStyle w:val="ListParagraph"/>
              <w:numPr>
                <w:ilvl w:val="0"/>
                <w:numId w:val="35"/>
              </w:numPr>
              <w:contextualSpacing/>
              <w:jc w:val="both"/>
              <w:rPr>
                <w:rFonts w:eastAsia="SimSun"/>
                <w:bCs/>
                <w:color w:val="000000"/>
                <w:sz w:val="24"/>
                <w:szCs w:val="24"/>
                <w:lang w:val="en-SG" w:eastAsia="zh-CN"/>
              </w:rPr>
            </w:pPr>
            <w:r w:rsidRPr="009B5913">
              <w:rPr>
                <w:sz w:val="24"/>
                <w:szCs w:val="24"/>
              </w:rPr>
              <w:t>The maximum amount of tax deduction allowable to an employer for his contributions to an employee’s Medisave account under AMCS, or to an eligible company for its contribution to the SEP’s Medisave account, will be increased from $1,500 to $2,730 per year</w:t>
            </w:r>
            <w:r w:rsidRPr="009B5913">
              <w:rPr>
                <w:rFonts w:eastAsia="SimSun"/>
                <w:bCs/>
                <w:color w:val="000000"/>
                <w:sz w:val="24"/>
                <w:szCs w:val="24"/>
                <w:lang w:val="en-SG" w:eastAsia="zh-CN"/>
              </w:rPr>
              <w:t xml:space="preserve">. </w:t>
            </w:r>
          </w:p>
          <w:p w:rsidR="00AE3EE9" w:rsidRPr="004C15D9" w:rsidRDefault="00AE3EE9" w:rsidP="00AE3EE9">
            <w:pPr>
              <w:jc w:val="both"/>
            </w:pPr>
          </w:p>
        </w:tc>
        <w:tc>
          <w:tcPr>
            <w:tcW w:w="941" w:type="pct"/>
          </w:tcPr>
          <w:p w:rsidR="00AE3EE9" w:rsidRDefault="00AE3EE9" w:rsidP="00AE3EE9">
            <w:r>
              <w:t>Sections 10C, 13 and 14.</w:t>
            </w:r>
          </w:p>
          <w:p w:rsidR="00AE3EE9" w:rsidRDefault="00AE3EE9" w:rsidP="00AE3EE9"/>
          <w:p w:rsidR="00AE3EE9" w:rsidRPr="004C15D9" w:rsidRDefault="008D7584" w:rsidP="00AE3EE9">
            <w:r>
              <w:t>[Clauses 4, 6 and 10</w:t>
            </w:r>
            <w:r w:rsidR="00C04425">
              <w:t xml:space="preserve"> </w:t>
            </w:r>
            <w:r w:rsidR="00AE3EE9">
              <w:t xml:space="preserve">] </w:t>
            </w:r>
          </w:p>
        </w:tc>
      </w:tr>
      <w:tr w:rsidR="00AE3EE9" w:rsidRPr="004C15D9" w:rsidTr="007B0C8A">
        <w:trPr>
          <w:jc w:val="center"/>
        </w:trPr>
        <w:tc>
          <w:tcPr>
            <w:tcW w:w="338" w:type="pct"/>
          </w:tcPr>
          <w:p w:rsidR="00AE3EE9" w:rsidRPr="004C15D9" w:rsidRDefault="00AE3EE9" w:rsidP="00AE3EE9">
            <w:pPr>
              <w:widowControl w:val="0"/>
              <w:numPr>
                <w:ilvl w:val="0"/>
                <w:numId w:val="26"/>
              </w:numPr>
              <w:rPr>
                <w:rFonts w:eastAsia="PMingLiU"/>
                <w:b/>
              </w:rPr>
            </w:pPr>
          </w:p>
        </w:tc>
        <w:tc>
          <w:tcPr>
            <w:tcW w:w="1142" w:type="pct"/>
            <w:shd w:val="clear" w:color="auto" w:fill="auto"/>
          </w:tcPr>
          <w:p w:rsidR="00AE3EE9" w:rsidRPr="004C15D9" w:rsidRDefault="00AE3EE9" w:rsidP="00AE3EE9">
            <w:pPr>
              <w:jc w:val="both"/>
            </w:pPr>
            <w:r w:rsidRPr="004C15D9">
              <w:rPr>
                <w:rFonts w:eastAsia="PMingLiU"/>
                <w:lang w:eastAsia="zh-TW"/>
              </w:rPr>
              <w:t>Refine the Insurance Business Development (“IBD”) Umbrella Scheme and Insurance Broking Schemes</w:t>
            </w:r>
          </w:p>
        </w:tc>
        <w:tc>
          <w:tcPr>
            <w:tcW w:w="2579" w:type="pct"/>
          </w:tcPr>
          <w:p w:rsidR="00AE3EE9" w:rsidRPr="004C15D9" w:rsidRDefault="00AE3EE9" w:rsidP="00AE3EE9">
            <w:pPr>
              <w:pStyle w:val="ListParagraph"/>
              <w:spacing w:line="200" w:lineRule="atLeast"/>
              <w:ind w:left="0"/>
              <w:jc w:val="both"/>
              <w:rPr>
                <w:sz w:val="24"/>
                <w:szCs w:val="24"/>
              </w:rPr>
            </w:pPr>
            <w:r w:rsidRPr="004C15D9">
              <w:rPr>
                <w:sz w:val="24"/>
                <w:szCs w:val="24"/>
              </w:rPr>
              <w:t>To streamline and simplify the scheme, the scope of IBD will be refined to cover both onshore and offshore</w:t>
            </w:r>
            <w:r>
              <w:rPr>
                <w:sz w:val="24"/>
                <w:szCs w:val="24"/>
              </w:rPr>
              <w:t xml:space="preserve"> qualifying activities</w:t>
            </w:r>
            <w:r w:rsidRPr="004C15D9">
              <w:rPr>
                <w:sz w:val="24"/>
                <w:szCs w:val="24"/>
              </w:rPr>
              <w:t>. The relevant subsidiary legislations will be revised to prescribe the income from the expanded qualifying activities under IBD as follows:</w:t>
            </w:r>
          </w:p>
          <w:p w:rsidR="00AE3EE9" w:rsidRPr="004C15D9" w:rsidRDefault="00AE3EE9" w:rsidP="00AE3EE9">
            <w:pPr>
              <w:pStyle w:val="ListParagraph"/>
              <w:tabs>
                <w:tab w:val="left" w:pos="2629"/>
              </w:tabs>
              <w:spacing w:line="200" w:lineRule="atLeast"/>
              <w:ind w:left="0"/>
              <w:jc w:val="both"/>
              <w:rPr>
                <w:sz w:val="24"/>
                <w:szCs w:val="24"/>
              </w:rPr>
            </w:pPr>
          </w:p>
          <w:p w:rsidR="00AE3EE9" w:rsidRPr="004C15D9" w:rsidRDefault="00AE3EE9" w:rsidP="00AE3EE9">
            <w:pPr>
              <w:pStyle w:val="ListParagraph"/>
              <w:numPr>
                <w:ilvl w:val="0"/>
                <w:numId w:val="37"/>
              </w:numPr>
              <w:contextualSpacing/>
              <w:jc w:val="both"/>
              <w:rPr>
                <w:sz w:val="24"/>
                <w:szCs w:val="24"/>
              </w:rPr>
            </w:pPr>
            <w:r w:rsidRPr="004C15D9">
              <w:rPr>
                <w:sz w:val="24"/>
                <w:szCs w:val="24"/>
              </w:rPr>
              <w:t xml:space="preserve">Underwriting income derived from insuring and reinsuring both onshore and offshore insurance risks for IBD and IBD-Captive Insurance; </w:t>
            </w:r>
          </w:p>
          <w:p w:rsidR="00AE3EE9" w:rsidRPr="004C15D9" w:rsidRDefault="00AE3EE9" w:rsidP="00AE3EE9">
            <w:pPr>
              <w:pStyle w:val="ListParagraph"/>
              <w:numPr>
                <w:ilvl w:val="0"/>
                <w:numId w:val="37"/>
              </w:numPr>
              <w:contextualSpacing/>
              <w:jc w:val="both"/>
              <w:rPr>
                <w:sz w:val="24"/>
                <w:szCs w:val="24"/>
              </w:rPr>
            </w:pPr>
            <w:r w:rsidRPr="004C15D9">
              <w:rPr>
                <w:sz w:val="24"/>
                <w:szCs w:val="24"/>
              </w:rPr>
              <w:t xml:space="preserve">Both onshore and offshore investment income (dividend, qualifying interest, gains from sale of qualifying investment) relating to the incentivised insurance business lines for IBD, IBD-Marine Hull and Liability Insurance Business, IBD-Captive Insurance and IBD-Specialised Insurance; and </w:t>
            </w:r>
          </w:p>
          <w:p w:rsidR="00AE3EE9" w:rsidRPr="004C15D9" w:rsidRDefault="00AE3EE9" w:rsidP="00AE3EE9">
            <w:pPr>
              <w:pStyle w:val="ListParagraph"/>
              <w:numPr>
                <w:ilvl w:val="0"/>
                <w:numId w:val="37"/>
              </w:numPr>
              <w:contextualSpacing/>
              <w:jc w:val="both"/>
              <w:rPr>
                <w:sz w:val="24"/>
                <w:szCs w:val="24"/>
              </w:rPr>
            </w:pPr>
            <w:r w:rsidRPr="004C15D9">
              <w:rPr>
                <w:sz w:val="24"/>
                <w:szCs w:val="24"/>
              </w:rPr>
              <w:t xml:space="preserve"> Onshore and offshore broking business income for IBD-Insurance Broking Business and IBD-Specialised Insurance Broking Business.</w:t>
            </w:r>
          </w:p>
          <w:p w:rsidR="00AE3EE9" w:rsidRPr="004C15D9" w:rsidRDefault="00AE3EE9" w:rsidP="00AE3EE9">
            <w:pPr>
              <w:pStyle w:val="ListParagraph"/>
              <w:spacing w:line="200" w:lineRule="atLeast"/>
              <w:ind w:left="0"/>
              <w:jc w:val="both"/>
              <w:rPr>
                <w:sz w:val="24"/>
                <w:szCs w:val="24"/>
              </w:rPr>
            </w:pPr>
          </w:p>
          <w:p w:rsidR="00AE3EE9" w:rsidRDefault="00AE3EE9" w:rsidP="00AE3EE9">
            <w:pPr>
              <w:pStyle w:val="ListParagraph"/>
              <w:spacing w:line="200" w:lineRule="atLeast"/>
              <w:ind w:left="0"/>
              <w:jc w:val="both"/>
              <w:rPr>
                <w:sz w:val="24"/>
                <w:szCs w:val="24"/>
              </w:rPr>
            </w:pPr>
            <w:r w:rsidRPr="004C15D9">
              <w:rPr>
                <w:sz w:val="24"/>
                <w:szCs w:val="24"/>
              </w:rPr>
              <w:t>In addition, the following activities and income will be excluded</w:t>
            </w:r>
            <w:r w:rsidR="001A7376">
              <w:rPr>
                <w:sz w:val="24"/>
                <w:szCs w:val="24"/>
              </w:rPr>
              <w:t xml:space="preserve"> from the scope of IBD</w:t>
            </w:r>
            <w:r w:rsidRPr="004C15D9">
              <w:rPr>
                <w:sz w:val="24"/>
                <w:szCs w:val="24"/>
              </w:rPr>
              <w:t xml:space="preserve">: </w:t>
            </w:r>
          </w:p>
          <w:p w:rsidR="00C04425" w:rsidRPr="004C15D9" w:rsidRDefault="00C04425" w:rsidP="00AE3EE9">
            <w:pPr>
              <w:pStyle w:val="ListParagraph"/>
              <w:spacing w:line="200" w:lineRule="atLeast"/>
              <w:ind w:left="0"/>
              <w:jc w:val="both"/>
              <w:rPr>
                <w:sz w:val="24"/>
                <w:szCs w:val="24"/>
              </w:rPr>
            </w:pPr>
          </w:p>
          <w:p w:rsidR="00AE3EE9" w:rsidRPr="004C15D9" w:rsidRDefault="00AE3EE9" w:rsidP="00AE3EE9">
            <w:pPr>
              <w:pStyle w:val="ListParagraph"/>
              <w:numPr>
                <w:ilvl w:val="0"/>
                <w:numId w:val="38"/>
              </w:numPr>
              <w:contextualSpacing/>
              <w:jc w:val="both"/>
              <w:rPr>
                <w:sz w:val="24"/>
                <w:szCs w:val="24"/>
              </w:rPr>
            </w:pPr>
            <w:r w:rsidRPr="004C15D9">
              <w:rPr>
                <w:sz w:val="24"/>
                <w:szCs w:val="24"/>
              </w:rPr>
              <w:t xml:space="preserve">All underwriting income, investment income, and insurance broking commission and fee income from onshore and offshore direct life insurance; </w:t>
            </w:r>
          </w:p>
          <w:p w:rsidR="00AE3EE9" w:rsidRPr="004C15D9" w:rsidRDefault="00AE3EE9" w:rsidP="00AE3EE9">
            <w:pPr>
              <w:pStyle w:val="ListParagraph"/>
              <w:numPr>
                <w:ilvl w:val="0"/>
                <w:numId w:val="38"/>
              </w:numPr>
              <w:contextualSpacing/>
              <w:jc w:val="both"/>
              <w:rPr>
                <w:sz w:val="24"/>
                <w:szCs w:val="24"/>
              </w:rPr>
            </w:pPr>
            <w:r w:rsidRPr="004C15D9">
              <w:rPr>
                <w:sz w:val="24"/>
                <w:szCs w:val="24"/>
              </w:rPr>
              <w:t xml:space="preserve">All underwriting income, investment income, and insurance broking commission and fee income from onshore and offshore </w:t>
            </w:r>
            <w:r w:rsidR="00154F85">
              <w:rPr>
                <w:sz w:val="24"/>
                <w:szCs w:val="24"/>
              </w:rPr>
              <w:t xml:space="preserve">direct stand-alone </w:t>
            </w:r>
            <w:r w:rsidRPr="004C15D9">
              <w:rPr>
                <w:sz w:val="24"/>
                <w:szCs w:val="24"/>
              </w:rPr>
              <w:t>fire, motor, work injury compensation, personal accident and health insurance;</w:t>
            </w:r>
          </w:p>
          <w:p w:rsidR="00AE3EE9" w:rsidRPr="004C15D9" w:rsidRDefault="00AE3EE9" w:rsidP="00AE3EE9">
            <w:pPr>
              <w:pStyle w:val="ListParagraph"/>
              <w:numPr>
                <w:ilvl w:val="0"/>
                <w:numId w:val="38"/>
              </w:numPr>
              <w:contextualSpacing/>
              <w:jc w:val="both"/>
              <w:rPr>
                <w:sz w:val="24"/>
                <w:szCs w:val="24"/>
              </w:rPr>
            </w:pPr>
            <w:r w:rsidRPr="004C15D9">
              <w:rPr>
                <w:sz w:val="24"/>
                <w:szCs w:val="24"/>
              </w:rPr>
              <w:t xml:space="preserve">Interest income other than qualifying interest; </w:t>
            </w:r>
          </w:p>
          <w:p w:rsidR="00AE3EE9" w:rsidRPr="004C15D9" w:rsidRDefault="00AE3EE9" w:rsidP="00AE3EE9">
            <w:pPr>
              <w:pStyle w:val="ListParagraph"/>
              <w:numPr>
                <w:ilvl w:val="0"/>
                <w:numId w:val="38"/>
              </w:numPr>
              <w:contextualSpacing/>
              <w:jc w:val="both"/>
              <w:rPr>
                <w:sz w:val="24"/>
                <w:szCs w:val="24"/>
              </w:rPr>
            </w:pPr>
            <w:r w:rsidRPr="004C15D9">
              <w:rPr>
                <w:sz w:val="24"/>
                <w:szCs w:val="24"/>
              </w:rPr>
              <w:t>Gains from sale of investments other than qualifying investments; and</w:t>
            </w:r>
          </w:p>
          <w:p w:rsidR="00AE3EE9" w:rsidRPr="004C15D9" w:rsidRDefault="00AE3EE9" w:rsidP="00AE3EE9">
            <w:pPr>
              <w:pStyle w:val="ListParagraph"/>
              <w:numPr>
                <w:ilvl w:val="0"/>
                <w:numId w:val="38"/>
              </w:numPr>
              <w:contextualSpacing/>
              <w:jc w:val="both"/>
              <w:rPr>
                <w:sz w:val="24"/>
                <w:szCs w:val="24"/>
              </w:rPr>
            </w:pPr>
            <w:r w:rsidRPr="004C15D9">
              <w:rPr>
                <w:sz w:val="24"/>
                <w:szCs w:val="24"/>
              </w:rPr>
              <w:t>All investment income relating to immovable properties, not relating to any prescribed asset or project, in and outside Singapore.</w:t>
            </w:r>
          </w:p>
          <w:p w:rsidR="00AE3EE9" w:rsidRPr="004C15D9" w:rsidRDefault="00AE3EE9" w:rsidP="00AE3EE9">
            <w:pPr>
              <w:spacing w:line="252" w:lineRule="auto"/>
              <w:jc w:val="both"/>
            </w:pPr>
          </w:p>
          <w:p w:rsidR="00AE3EE9" w:rsidRPr="004C15D9" w:rsidRDefault="00AE3EE9" w:rsidP="00AE3EE9">
            <w:pPr>
              <w:jc w:val="both"/>
            </w:pPr>
            <w:r w:rsidRPr="004C15D9">
              <w:t>The amendment will take effect for new awards granted or existing awards renewed</w:t>
            </w:r>
            <w:r w:rsidR="00C526F8">
              <w:t>,</w:t>
            </w:r>
            <w:r w:rsidRPr="004C15D9">
              <w:t xml:space="preserve"> on or after 1 June 2017. </w:t>
            </w:r>
          </w:p>
          <w:p w:rsidR="00AE3EE9" w:rsidRPr="004C15D9" w:rsidRDefault="00AE3EE9" w:rsidP="00AE3EE9">
            <w:pPr>
              <w:pStyle w:val="Default"/>
              <w:jc w:val="both"/>
              <w:rPr>
                <w:rFonts w:eastAsia="Times New Roman"/>
                <w:color w:val="auto"/>
                <w:lang w:val="en-US" w:eastAsia="en-US"/>
              </w:rPr>
            </w:pPr>
          </w:p>
        </w:tc>
        <w:tc>
          <w:tcPr>
            <w:tcW w:w="941" w:type="pct"/>
          </w:tcPr>
          <w:p w:rsidR="00C04425" w:rsidRDefault="00AE3EE9" w:rsidP="00AE3EE9">
            <w:r>
              <w:t>Sections 14D, 26, 37B, 37E and 43C</w:t>
            </w:r>
            <w:r w:rsidR="00154F85">
              <w:t>.</w:t>
            </w:r>
          </w:p>
          <w:p w:rsidR="00C04425" w:rsidRDefault="00C04425" w:rsidP="00AE3EE9"/>
          <w:p w:rsidR="00AE3EE9" w:rsidRDefault="008D7584" w:rsidP="00AE3EE9">
            <w:r>
              <w:t>[Clauses 17</w:t>
            </w:r>
            <w:r w:rsidR="00CE42CC">
              <w:t>, 27</w:t>
            </w:r>
            <w:r w:rsidR="00C04425">
              <w:t xml:space="preserve"> and </w:t>
            </w:r>
            <w:r w:rsidR="00CE42CC">
              <w:t>44</w:t>
            </w:r>
            <w:r w:rsidR="00AE3EE9">
              <w:t>]</w:t>
            </w:r>
          </w:p>
          <w:p w:rsidR="00154F85" w:rsidRDefault="00154F85" w:rsidP="00AE3EE9"/>
        </w:tc>
      </w:tr>
      <w:tr w:rsidR="00AE3EE9" w:rsidRPr="004C15D9" w:rsidTr="007B0C8A">
        <w:trPr>
          <w:jc w:val="center"/>
        </w:trPr>
        <w:tc>
          <w:tcPr>
            <w:tcW w:w="338" w:type="pct"/>
          </w:tcPr>
          <w:p w:rsidR="00AE3EE9" w:rsidRPr="004C15D9" w:rsidRDefault="00AE3EE9" w:rsidP="00AE3EE9">
            <w:pPr>
              <w:widowControl w:val="0"/>
              <w:numPr>
                <w:ilvl w:val="0"/>
                <w:numId w:val="26"/>
              </w:numPr>
              <w:rPr>
                <w:rFonts w:eastAsia="PMingLiU"/>
                <w:b/>
              </w:rPr>
            </w:pPr>
          </w:p>
        </w:tc>
        <w:tc>
          <w:tcPr>
            <w:tcW w:w="1142" w:type="pct"/>
            <w:shd w:val="clear" w:color="auto" w:fill="auto"/>
          </w:tcPr>
          <w:p w:rsidR="00AE3EE9" w:rsidRPr="004C15D9" w:rsidRDefault="00AE3EE9" w:rsidP="00AE3EE9">
            <w:pPr>
              <w:jc w:val="both"/>
            </w:pPr>
            <w:r w:rsidRPr="004C15D9">
              <w:rPr>
                <w:lang w:val="en-SG"/>
              </w:rPr>
              <w:t>Refine the Financial Sector Incentive (</w:t>
            </w:r>
            <w:r w:rsidR="00D451B3">
              <w:rPr>
                <w:lang w:val="en-SG"/>
              </w:rPr>
              <w:t>“</w:t>
            </w:r>
            <w:r w:rsidRPr="004C15D9">
              <w:rPr>
                <w:lang w:val="en-SG"/>
              </w:rPr>
              <w:t>FSI</w:t>
            </w:r>
            <w:r w:rsidR="00D451B3">
              <w:rPr>
                <w:lang w:val="en-SG"/>
              </w:rPr>
              <w:t>”</w:t>
            </w:r>
            <w:r w:rsidRPr="004C15D9">
              <w:rPr>
                <w:lang w:val="en-SG"/>
              </w:rPr>
              <w:t>) schemes</w:t>
            </w:r>
          </w:p>
        </w:tc>
        <w:tc>
          <w:tcPr>
            <w:tcW w:w="2579" w:type="pct"/>
          </w:tcPr>
          <w:p w:rsidR="00AE3EE9" w:rsidRPr="004C15D9" w:rsidRDefault="00AE3EE9" w:rsidP="00AE3EE9">
            <w:pPr>
              <w:pStyle w:val="Default"/>
              <w:jc w:val="both"/>
            </w:pPr>
            <w:r w:rsidRPr="004C15D9">
              <w:t xml:space="preserve">In order to maintain tax neutrality as a result of the refined scope of incentivised activities, the tax rate for FSI (standard tier) companies will be increased from 12% to 13.5% for </w:t>
            </w:r>
            <w:r w:rsidRPr="004C15D9">
              <w:rPr>
                <w:lang w:val="en-SG" w:eastAsia="en-SG"/>
              </w:rPr>
              <w:t xml:space="preserve">new awards granted or </w:t>
            </w:r>
            <w:r w:rsidRPr="004C15D9">
              <w:t>existing awards renewed</w:t>
            </w:r>
            <w:r w:rsidR="00C526F8">
              <w:t>,</w:t>
            </w:r>
            <w:r w:rsidRPr="004C15D9">
              <w:t xml:space="preserve"> on or after 1 June 2017, for incentive period commencing on or after 1 June 2017. </w:t>
            </w:r>
          </w:p>
          <w:p w:rsidR="00AE3EE9" w:rsidRPr="004C15D9" w:rsidRDefault="00AE3EE9" w:rsidP="00AE3EE9">
            <w:pPr>
              <w:pStyle w:val="Default"/>
              <w:jc w:val="both"/>
            </w:pPr>
          </w:p>
          <w:p w:rsidR="00AE3EE9" w:rsidRPr="004C15D9" w:rsidRDefault="00AE3EE9" w:rsidP="00F817F8">
            <w:pPr>
              <w:jc w:val="both"/>
            </w:pPr>
          </w:p>
        </w:tc>
        <w:tc>
          <w:tcPr>
            <w:tcW w:w="941" w:type="pct"/>
          </w:tcPr>
          <w:p w:rsidR="00AE3EE9" w:rsidRDefault="00AE3EE9" w:rsidP="00AE3EE9">
            <w:r>
              <w:t>Section 43Q</w:t>
            </w:r>
          </w:p>
          <w:p w:rsidR="00AE3EE9" w:rsidRDefault="00AE3EE9" w:rsidP="008D7584">
            <w:r>
              <w:t xml:space="preserve">[Clause </w:t>
            </w:r>
            <w:r w:rsidR="008D7584">
              <w:t>29</w:t>
            </w:r>
            <w:r>
              <w:t>]</w:t>
            </w:r>
          </w:p>
        </w:tc>
      </w:tr>
      <w:tr w:rsidR="00AE3EE9" w:rsidRPr="004C15D9" w:rsidTr="007B0C8A">
        <w:trPr>
          <w:jc w:val="center"/>
        </w:trPr>
        <w:tc>
          <w:tcPr>
            <w:tcW w:w="338" w:type="pct"/>
          </w:tcPr>
          <w:p w:rsidR="00AE3EE9" w:rsidRPr="004C15D9" w:rsidRDefault="00AE3EE9" w:rsidP="00AE3EE9">
            <w:pPr>
              <w:widowControl w:val="0"/>
              <w:numPr>
                <w:ilvl w:val="0"/>
                <w:numId w:val="26"/>
              </w:numPr>
              <w:rPr>
                <w:rFonts w:eastAsia="PMingLiU"/>
                <w:b/>
              </w:rPr>
            </w:pPr>
          </w:p>
        </w:tc>
        <w:tc>
          <w:tcPr>
            <w:tcW w:w="1142" w:type="pct"/>
            <w:shd w:val="clear" w:color="auto" w:fill="auto"/>
          </w:tcPr>
          <w:p w:rsidR="00AE3EE9" w:rsidRPr="004C15D9" w:rsidRDefault="00AE3EE9" w:rsidP="00AE3EE9">
            <w:pPr>
              <w:jc w:val="both"/>
            </w:pPr>
            <w:r w:rsidRPr="004C15D9">
              <w:t>Refine the Maritime Sector Incentive – Shipping related Support Services (“MSI-SSS”) scheme</w:t>
            </w:r>
          </w:p>
        </w:tc>
        <w:tc>
          <w:tcPr>
            <w:tcW w:w="2579" w:type="pct"/>
          </w:tcPr>
          <w:p w:rsidR="00AE3EE9" w:rsidRPr="00F21A88" w:rsidRDefault="00AE3EE9" w:rsidP="00AE3EE9">
            <w:pPr>
              <w:pStyle w:val="ListParagraph"/>
              <w:spacing w:line="200" w:lineRule="atLeast"/>
              <w:ind w:left="0"/>
              <w:jc w:val="both"/>
              <w:rPr>
                <w:rFonts w:eastAsia="PMingLiU"/>
                <w:sz w:val="24"/>
                <w:szCs w:val="24"/>
                <w:lang w:eastAsia="zh-TW"/>
              </w:rPr>
            </w:pPr>
            <w:r w:rsidRPr="00F21A88">
              <w:rPr>
                <w:rFonts w:eastAsia="PMingLiU"/>
                <w:sz w:val="24"/>
                <w:szCs w:val="24"/>
                <w:lang w:eastAsia="zh-TW"/>
              </w:rPr>
              <w:t xml:space="preserve">To streamline and rationalise the MSI-SSS award, the following corporate services provided by the MSI-SSS recipients to its approved related company will be excluded under the MSI-SSS scheme: </w:t>
            </w:r>
          </w:p>
          <w:p w:rsidR="00AE3EE9" w:rsidRPr="00F21A88" w:rsidRDefault="00AE3EE9" w:rsidP="00AE3EE9">
            <w:pPr>
              <w:pStyle w:val="ListParagraph"/>
              <w:spacing w:line="200" w:lineRule="atLeast"/>
              <w:ind w:left="0"/>
              <w:jc w:val="both"/>
              <w:rPr>
                <w:rFonts w:eastAsia="PMingLiU"/>
                <w:sz w:val="24"/>
                <w:szCs w:val="24"/>
                <w:lang w:eastAsia="zh-TW"/>
              </w:rPr>
            </w:pPr>
          </w:p>
          <w:p w:rsidR="00AE3EE9" w:rsidRPr="00F21A88" w:rsidRDefault="008F0883" w:rsidP="00AE3EE9">
            <w:pPr>
              <w:pStyle w:val="ListParagraph"/>
              <w:numPr>
                <w:ilvl w:val="0"/>
                <w:numId w:val="39"/>
              </w:numPr>
              <w:contextualSpacing/>
              <w:jc w:val="both"/>
              <w:rPr>
                <w:sz w:val="24"/>
                <w:szCs w:val="24"/>
              </w:rPr>
            </w:pPr>
            <w:r>
              <w:rPr>
                <w:sz w:val="24"/>
                <w:szCs w:val="24"/>
              </w:rPr>
              <w:t>Marketing control, planning and b</w:t>
            </w:r>
            <w:r w:rsidR="00AE3EE9" w:rsidRPr="00F21A88">
              <w:rPr>
                <w:sz w:val="24"/>
                <w:szCs w:val="24"/>
              </w:rPr>
              <w:t>rand management services</w:t>
            </w:r>
            <w:r>
              <w:rPr>
                <w:sz w:val="24"/>
                <w:szCs w:val="24"/>
              </w:rPr>
              <w:t xml:space="preserve"> under paragraph (a) of the corporate service definition</w:t>
            </w:r>
            <w:r w:rsidR="00AE3EE9" w:rsidRPr="00F21A88">
              <w:rPr>
                <w:sz w:val="24"/>
                <w:szCs w:val="24"/>
              </w:rPr>
              <w:t>;</w:t>
            </w:r>
          </w:p>
          <w:p w:rsidR="00AE3EE9" w:rsidRPr="00F21A88" w:rsidRDefault="00AE3EE9" w:rsidP="00AE3EE9">
            <w:pPr>
              <w:pStyle w:val="ListParagraph"/>
              <w:numPr>
                <w:ilvl w:val="0"/>
                <w:numId w:val="39"/>
              </w:numPr>
              <w:contextualSpacing/>
              <w:jc w:val="both"/>
              <w:rPr>
                <w:sz w:val="24"/>
                <w:szCs w:val="24"/>
              </w:rPr>
            </w:pPr>
            <w:r w:rsidRPr="00F21A88">
              <w:rPr>
                <w:sz w:val="24"/>
                <w:szCs w:val="24"/>
              </w:rPr>
              <w:t>Research and development (including test bedding) services carried out on behalf of the approved related company; and</w:t>
            </w:r>
          </w:p>
          <w:p w:rsidR="00AE3EE9" w:rsidRPr="00F21A88" w:rsidRDefault="00AE3EE9" w:rsidP="00AE3EE9">
            <w:pPr>
              <w:pStyle w:val="ListParagraph"/>
              <w:numPr>
                <w:ilvl w:val="0"/>
                <w:numId w:val="39"/>
              </w:numPr>
              <w:contextualSpacing/>
              <w:jc w:val="both"/>
              <w:rPr>
                <w:rFonts w:eastAsia="PMingLiU"/>
                <w:sz w:val="24"/>
                <w:szCs w:val="24"/>
                <w:lang w:eastAsia="zh-TW"/>
              </w:rPr>
            </w:pPr>
            <w:r w:rsidRPr="00F21A88">
              <w:rPr>
                <w:sz w:val="24"/>
                <w:szCs w:val="24"/>
              </w:rPr>
              <w:t>Intellectual property management services</w:t>
            </w:r>
            <w:r w:rsidR="002C0765">
              <w:rPr>
                <w:sz w:val="24"/>
                <w:szCs w:val="24"/>
              </w:rPr>
              <w:t xml:space="preserve"> under paragraph (f) of the corporate service definition</w:t>
            </w:r>
            <w:r w:rsidRPr="00F21A88">
              <w:rPr>
                <w:sz w:val="24"/>
                <w:szCs w:val="24"/>
              </w:rPr>
              <w:t>.</w:t>
            </w:r>
          </w:p>
          <w:p w:rsidR="00AE3EE9" w:rsidRPr="00F21A88" w:rsidRDefault="00AE3EE9" w:rsidP="00AE3EE9">
            <w:pPr>
              <w:jc w:val="both"/>
            </w:pPr>
          </w:p>
          <w:p w:rsidR="00AE3EE9" w:rsidRPr="00F21A88" w:rsidRDefault="00AE3EE9" w:rsidP="00AE3EE9">
            <w:pPr>
              <w:jc w:val="both"/>
            </w:pPr>
            <w:r w:rsidRPr="00F21A88">
              <w:t xml:space="preserve">The amendment will take effect for income derived on or after the date the Amendment Act is published in the Gazette. </w:t>
            </w:r>
          </w:p>
          <w:p w:rsidR="00AE3EE9" w:rsidRPr="004C15D9" w:rsidRDefault="00AE3EE9" w:rsidP="00AE3EE9">
            <w:pPr>
              <w:pStyle w:val="Default"/>
              <w:jc w:val="both"/>
              <w:rPr>
                <w:rFonts w:eastAsia="Times New Roman"/>
                <w:color w:val="auto"/>
                <w:lang w:val="en-US" w:eastAsia="en-US"/>
              </w:rPr>
            </w:pPr>
          </w:p>
        </w:tc>
        <w:tc>
          <w:tcPr>
            <w:tcW w:w="941" w:type="pct"/>
          </w:tcPr>
          <w:p w:rsidR="00AE3EE9" w:rsidRDefault="00AE3EE9" w:rsidP="00AE3EE9">
            <w:r>
              <w:t>Section 43ZF</w:t>
            </w:r>
          </w:p>
          <w:p w:rsidR="00AE3EE9" w:rsidRDefault="008766E0" w:rsidP="00AE3EE9">
            <w:r>
              <w:t>[Clause 33</w:t>
            </w:r>
            <w:r w:rsidR="00AE3EE9">
              <w:t xml:space="preserve"> ]</w:t>
            </w:r>
          </w:p>
        </w:tc>
      </w:tr>
      <w:tr w:rsidR="00C56B9B" w:rsidRPr="004C15D9" w:rsidTr="007B0C8A">
        <w:trPr>
          <w:jc w:val="center"/>
        </w:trPr>
        <w:tc>
          <w:tcPr>
            <w:tcW w:w="338" w:type="pct"/>
          </w:tcPr>
          <w:p w:rsidR="00C56B9B" w:rsidRPr="004C15D9" w:rsidRDefault="00C56B9B" w:rsidP="00C56B9B">
            <w:pPr>
              <w:widowControl w:val="0"/>
              <w:numPr>
                <w:ilvl w:val="0"/>
                <w:numId w:val="26"/>
              </w:numPr>
              <w:rPr>
                <w:rFonts w:eastAsia="PMingLiU"/>
                <w:b/>
              </w:rPr>
            </w:pPr>
          </w:p>
        </w:tc>
        <w:tc>
          <w:tcPr>
            <w:tcW w:w="1142" w:type="pct"/>
            <w:shd w:val="clear" w:color="auto" w:fill="auto"/>
          </w:tcPr>
          <w:p w:rsidR="00C56B9B" w:rsidRPr="004C15D9" w:rsidRDefault="00C56B9B" w:rsidP="00C56B9B">
            <w:pPr>
              <w:jc w:val="both"/>
            </w:pPr>
            <w:r w:rsidRPr="004C15D9">
              <w:t>Clarify the scope of Corporate Services under the MSI-SSS scheme</w:t>
            </w:r>
          </w:p>
        </w:tc>
        <w:tc>
          <w:tcPr>
            <w:tcW w:w="2579" w:type="pct"/>
          </w:tcPr>
          <w:p w:rsidR="00C56B9B" w:rsidRPr="004C15D9" w:rsidRDefault="00C56B9B" w:rsidP="00C56B9B">
            <w:pPr>
              <w:pStyle w:val="ListParagraph"/>
              <w:spacing w:line="200" w:lineRule="atLeast"/>
              <w:ind w:left="0"/>
              <w:jc w:val="both"/>
              <w:rPr>
                <w:sz w:val="24"/>
                <w:szCs w:val="24"/>
              </w:rPr>
            </w:pPr>
            <w:r w:rsidRPr="004C15D9">
              <w:rPr>
                <w:sz w:val="24"/>
                <w:szCs w:val="24"/>
              </w:rPr>
              <w:t>To clarify that under the definition of corporate services, Information Technology (“IT”) services refers to IT support services.</w:t>
            </w:r>
          </w:p>
          <w:p w:rsidR="00C56B9B" w:rsidRPr="004C15D9" w:rsidRDefault="00C56B9B" w:rsidP="00C56B9B">
            <w:pPr>
              <w:jc w:val="both"/>
            </w:pPr>
          </w:p>
          <w:p w:rsidR="00C56B9B" w:rsidRPr="00C56B9B" w:rsidRDefault="00C56B9B" w:rsidP="00023C7C">
            <w:pPr>
              <w:pStyle w:val="ListParagraph"/>
              <w:spacing w:line="200" w:lineRule="atLeast"/>
              <w:ind w:left="0"/>
              <w:jc w:val="both"/>
              <w:rPr>
                <w:sz w:val="24"/>
                <w:szCs w:val="24"/>
              </w:rPr>
            </w:pPr>
            <w:r w:rsidRPr="00C56B9B">
              <w:rPr>
                <w:sz w:val="24"/>
                <w:szCs w:val="24"/>
              </w:rPr>
              <w:t xml:space="preserve">The amendment will take effect </w:t>
            </w:r>
            <w:r w:rsidR="008F0883">
              <w:rPr>
                <w:sz w:val="24"/>
                <w:szCs w:val="24"/>
              </w:rPr>
              <w:t xml:space="preserve">for income derived on or after </w:t>
            </w:r>
            <w:r w:rsidR="00023C7C">
              <w:rPr>
                <w:sz w:val="24"/>
                <w:szCs w:val="24"/>
              </w:rPr>
              <w:t>2</w:t>
            </w:r>
            <w:r w:rsidR="00023C7C" w:rsidRPr="00C56B9B">
              <w:rPr>
                <w:sz w:val="24"/>
                <w:szCs w:val="24"/>
              </w:rPr>
              <w:t xml:space="preserve"> </w:t>
            </w:r>
            <w:r w:rsidRPr="00C56B9B">
              <w:rPr>
                <w:sz w:val="24"/>
                <w:szCs w:val="24"/>
              </w:rPr>
              <w:t>June 2011.</w:t>
            </w:r>
          </w:p>
        </w:tc>
        <w:tc>
          <w:tcPr>
            <w:tcW w:w="941" w:type="pct"/>
          </w:tcPr>
          <w:p w:rsidR="00C56B9B" w:rsidRDefault="00C56B9B" w:rsidP="00C56B9B">
            <w:r>
              <w:t>Section 43ZF</w:t>
            </w:r>
          </w:p>
          <w:p w:rsidR="00C56B9B" w:rsidRDefault="00C56B9B" w:rsidP="00C04425">
            <w:r>
              <w:t xml:space="preserve">[Clause </w:t>
            </w:r>
            <w:r w:rsidR="008766E0">
              <w:t>33</w:t>
            </w:r>
            <w:r>
              <w:t>]</w:t>
            </w:r>
          </w:p>
        </w:tc>
      </w:tr>
      <w:tr w:rsidR="00C56B9B" w:rsidRPr="004C15D9" w:rsidTr="007B0C8A">
        <w:trPr>
          <w:jc w:val="center"/>
        </w:trPr>
        <w:tc>
          <w:tcPr>
            <w:tcW w:w="338" w:type="pct"/>
          </w:tcPr>
          <w:p w:rsidR="00C56B9B" w:rsidRPr="004C15D9" w:rsidRDefault="00C56B9B" w:rsidP="00C56B9B">
            <w:pPr>
              <w:widowControl w:val="0"/>
              <w:numPr>
                <w:ilvl w:val="0"/>
                <w:numId w:val="26"/>
              </w:numPr>
              <w:rPr>
                <w:rFonts w:eastAsia="PMingLiU"/>
                <w:b/>
              </w:rPr>
            </w:pPr>
          </w:p>
        </w:tc>
        <w:tc>
          <w:tcPr>
            <w:tcW w:w="1142" w:type="pct"/>
            <w:shd w:val="clear" w:color="auto" w:fill="auto"/>
          </w:tcPr>
          <w:p w:rsidR="00C56B9B" w:rsidRPr="004C15D9" w:rsidRDefault="00C56B9B" w:rsidP="00C56B9B">
            <w:pPr>
              <w:jc w:val="both"/>
            </w:pPr>
            <w:r w:rsidRPr="004C15D9">
              <w:t>Clarify the definition of ship management services under Maritime Sector Incentive (“MSI”)</w:t>
            </w:r>
          </w:p>
        </w:tc>
        <w:tc>
          <w:tcPr>
            <w:tcW w:w="2579" w:type="pct"/>
          </w:tcPr>
          <w:p w:rsidR="00C56B9B" w:rsidRPr="00CF66F4" w:rsidRDefault="00C56B9B" w:rsidP="00C56B9B">
            <w:pPr>
              <w:jc w:val="both"/>
            </w:pPr>
            <w:r w:rsidRPr="004C15D9">
              <w:t xml:space="preserve">To clarify on the scope of ship management services that qualifies for tax exemption for the period from 22 February 2010 to 23 February 2015 under the MSI – Singapore Registry of Ships and the MSI - Approved International Shipping Enterprise award and for the purpose of </w:t>
            </w:r>
            <w:r w:rsidRPr="00CF66F4">
              <w:t>definition of ship management services under the MSI-Shipping Related Support Services.</w:t>
            </w:r>
          </w:p>
          <w:p w:rsidR="00C56B9B" w:rsidRPr="00CF66F4" w:rsidRDefault="00C56B9B" w:rsidP="00C56B9B">
            <w:pPr>
              <w:jc w:val="both"/>
            </w:pPr>
          </w:p>
          <w:p w:rsidR="00C56B9B" w:rsidRPr="00C56B9B" w:rsidRDefault="00C56B9B" w:rsidP="00C56B9B">
            <w:pPr>
              <w:pStyle w:val="ListParagraph"/>
              <w:spacing w:line="200" w:lineRule="atLeast"/>
              <w:ind w:left="0"/>
              <w:jc w:val="both"/>
              <w:rPr>
                <w:sz w:val="24"/>
                <w:szCs w:val="24"/>
              </w:rPr>
            </w:pPr>
            <w:r w:rsidRPr="00CF66F4">
              <w:rPr>
                <w:sz w:val="24"/>
                <w:szCs w:val="24"/>
              </w:rPr>
              <w:t>The amendment will take effect from 22 February 2010.</w:t>
            </w:r>
          </w:p>
        </w:tc>
        <w:tc>
          <w:tcPr>
            <w:tcW w:w="941" w:type="pct"/>
          </w:tcPr>
          <w:p w:rsidR="00C56B9B" w:rsidRDefault="00C56B9B" w:rsidP="00C56B9B">
            <w:r>
              <w:t>Section 13A</w:t>
            </w:r>
          </w:p>
          <w:p w:rsidR="00C56B9B" w:rsidRDefault="00C56B9B" w:rsidP="008766E0">
            <w:r>
              <w:t xml:space="preserve">[Clause </w:t>
            </w:r>
            <w:r w:rsidR="008766E0">
              <w:t>7</w:t>
            </w:r>
            <w:r>
              <w:t>]</w:t>
            </w:r>
          </w:p>
        </w:tc>
      </w:tr>
      <w:tr w:rsidR="00C56B9B" w:rsidRPr="004C15D9" w:rsidTr="007B0C8A">
        <w:trPr>
          <w:jc w:val="center"/>
        </w:trPr>
        <w:tc>
          <w:tcPr>
            <w:tcW w:w="338" w:type="pct"/>
          </w:tcPr>
          <w:p w:rsidR="00C56B9B" w:rsidRPr="004C15D9" w:rsidRDefault="00C56B9B" w:rsidP="00C56B9B">
            <w:pPr>
              <w:widowControl w:val="0"/>
              <w:numPr>
                <w:ilvl w:val="0"/>
                <w:numId w:val="26"/>
              </w:numPr>
              <w:rPr>
                <w:rFonts w:eastAsia="PMingLiU"/>
                <w:b/>
              </w:rPr>
            </w:pPr>
          </w:p>
        </w:tc>
        <w:tc>
          <w:tcPr>
            <w:tcW w:w="1142" w:type="pct"/>
            <w:shd w:val="clear" w:color="auto" w:fill="auto"/>
          </w:tcPr>
          <w:p w:rsidR="00C56B9B" w:rsidRPr="004C15D9" w:rsidRDefault="00C56B9B" w:rsidP="00C56B9B">
            <w:pPr>
              <w:jc w:val="both"/>
            </w:pPr>
            <w:r w:rsidRPr="004C15D9">
              <w:t>End-date the tax exemption for relevant income of eligible Family-owned Investment Holding Company (“FIHC scheme”)</w:t>
            </w:r>
          </w:p>
        </w:tc>
        <w:tc>
          <w:tcPr>
            <w:tcW w:w="2579" w:type="pct"/>
          </w:tcPr>
          <w:p w:rsidR="00C56B9B" w:rsidRPr="004C15D9" w:rsidRDefault="00C56B9B" w:rsidP="00C56B9B">
            <w:pPr>
              <w:pStyle w:val="Default"/>
              <w:jc w:val="both"/>
              <w:rPr>
                <w:rFonts w:eastAsia="Times New Roman"/>
                <w:color w:val="auto"/>
                <w:lang w:val="en-US" w:eastAsia="en-US"/>
              </w:rPr>
            </w:pPr>
            <w:r w:rsidRPr="004C15D9">
              <w:rPr>
                <w:rFonts w:eastAsia="Times New Roman"/>
                <w:color w:val="auto"/>
                <w:lang w:val="en-US" w:eastAsia="en-US"/>
              </w:rPr>
              <w:t xml:space="preserve">To introduce an end-date of YA 2023 to the tax benefit accorded to the existing incentive recipients of the FIHC scheme. </w:t>
            </w:r>
          </w:p>
          <w:p w:rsidR="00C56B9B" w:rsidRPr="004C15D9" w:rsidRDefault="00C56B9B" w:rsidP="00C56B9B">
            <w:pPr>
              <w:pStyle w:val="Default"/>
              <w:jc w:val="both"/>
              <w:rPr>
                <w:rFonts w:eastAsia="Times New Roman"/>
                <w:color w:val="auto"/>
                <w:lang w:val="en-US" w:eastAsia="en-US"/>
              </w:rPr>
            </w:pPr>
          </w:p>
          <w:p w:rsidR="00C56B9B" w:rsidRDefault="00086215" w:rsidP="00C56B9B">
            <w:pPr>
              <w:pStyle w:val="Default"/>
              <w:jc w:val="both"/>
              <w:rPr>
                <w:rFonts w:eastAsia="Times New Roman"/>
                <w:color w:val="auto"/>
                <w:lang w:val="en-US" w:eastAsia="en-US"/>
              </w:rPr>
            </w:pPr>
            <w:r>
              <w:rPr>
                <w:rFonts w:eastAsia="Times New Roman"/>
                <w:color w:val="auto"/>
                <w:lang w:val="en-US" w:eastAsia="en-US"/>
              </w:rPr>
              <w:t xml:space="preserve">Although the FIHC scheme was discontinued </w:t>
            </w:r>
            <w:r w:rsidR="007F0BB5">
              <w:rPr>
                <w:rFonts w:eastAsia="Times New Roman"/>
                <w:color w:val="auto"/>
                <w:lang w:val="en-US" w:eastAsia="en-US"/>
              </w:rPr>
              <w:t>from 1 April 2013,</w:t>
            </w:r>
            <w:r>
              <w:rPr>
                <w:rFonts w:eastAsia="Times New Roman"/>
                <w:color w:val="auto"/>
                <w:lang w:val="en-US" w:eastAsia="en-US"/>
              </w:rPr>
              <w:t xml:space="preserve"> e</w:t>
            </w:r>
            <w:r w:rsidRPr="004C15D9">
              <w:rPr>
                <w:rFonts w:eastAsia="Times New Roman"/>
                <w:color w:val="auto"/>
                <w:lang w:val="en-US" w:eastAsia="en-US"/>
              </w:rPr>
              <w:t xml:space="preserve">xisting </w:t>
            </w:r>
            <w:r w:rsidR="00C56B9B" w:rsidRPr="004C15D9">
              <w:rPr>
                <w:rFonts w:eastAsia="Times New Roman"/>
                <w:color w:val="auto"/>
                <w:lang w:val="en-US" w:eastAsia="en-US"/>
              </w:rPr>
              <w:t>incentive recipients of the FIHC scheme (which were incorporated before 1 April 2013) were able to continue enjoying the scheme benefit as long as they satisfy its conditions for every subsequent basis period beginning on or after 1 April 2013</w:t>
            </w:r>
            <w:r>
              <w:rPr>
                <w:rFonts w:eastAsia="Times New Roman"/>
                <w:color w:val="auto"/>
                <w:lang w:val="en-US" w:eastAsia="en-US"/>
              </w:rPr>
              <w:t>. C</w:t>
            </w:r>
            <w:r w:rsidRPr="004C15D9">
              <w:rPr>
                <w:rFonts w:eastAsia="Times New Roman"/>
                <w:color w:val="auto"/>
                <w:lang w:val="en-US" w:eastAsia="en-US"/>
              </w:rPr>
              <w:t xml:space="preserve">ompanies </w:t>
            </w:r>
            <w:r w:rsidR="00C56B9B" w:rsidRPr="004C15D9">
              <w:rPr>
                <w:rFonts w:eastAsia="Times New Roman"/>
                <w:color w:val="auto"/>
                <w:lang w:val="en-US" w:eastAsia="en-US"/>
              </w:rPr>
              <w:t xml:space="preserve">incorporated on or after 1 April 2013 are unable to enjoy the scheme benefits. </w:t>
            </w:r>
          </w:p>
          <w:p w:rsidR="000B208F" w:rsidRDefault="000B208F" w:rsidP="00C56B9B">
            <w:pPr>
              <w:pStyle w:val="Default"/>
              <w:jc w:val="both"/>
              <w:rPr>
                <w:rFonts w:eastAsia="Times New Roman"/>
                <w:color w:val="auto"/>
                <w:lang w:val="en-US" w:eastAsia="en-US"/>
              </w:rPr>
            </w:pPr>
          </w:p>
          <w:p w:rsidR="000B208F" w:rsidRPr="004C15D9" w:rsidRDefault="000B208F" w:rsidP="00C56B9B">
            <w:pPr>
              <w:pStyle w:val="Default"/>
              <w:jc w:val="both"/>
              <w:rPr>
                <w:rFonts w:eastAsia="Times New Roman"/>
                <w:color w:val="auto"/>
                <w:lang w:val="en-US" w:eastAsia="en-US"/>
              </w:rPr>
            </w:pPr>
            <w:r>
              <w:rPr>
                <w:rFonts w:eastAsia="Times New Roman"/>
                <w:color w:val="auto"/>
                <w:lang w:val="en-US" w:eastAsia="en-US"/>
              </w:rPr>
              <w:t xml:space="preserve">The end-date of the tax benefit ensures parity in tax treatment across all family-owned investment holding companies, whether they were incorporated before, on or after 1 April 2013. The end-date of YA 2023 allows existing incentive recipients of the FIHC scheme sufficient time to transit to alternative tax incentive schemes, where necessary, while allowing them to continue availing themselves to the tax incentive for another five years. </w:t>
            </w:r>
          </w:p>
          <w:p w:rsidR="00C56B9B" w:rsidRPr="004C15D9" w:rsidRDefault="00C56B9B" w:rsidP="00C56B9B">
            <w:pPr>
              <w:jc w:val="both"/>
            </w:pPr>
          </w:p>
        </w:tc>
        <w:tc>
          <w:tcPr>
            <w:tcW w:w="941" w:type="pct"/>
          </w:tcPr>
          <w:p w:rsidR="00C56B9B" w:rsidRDefault="00C56B9B" w:rsidP="00C56B9B">
            <w:r>
              <w:t>Section 13W</w:t>
            </w:r>
          </w:p>
          <w:p w:rsidR="00C56B9B" w:rsidRPr="004C15D9" w:rsidRDefault="00C56B9B" w:rsidP="008766E0">
            <w:r>
              <w:t xml:space="preserve">[Clause </w:t>
            </w:r>
            <w:r w:rsidR="008766E0">
              <w:t>8</w:t>
            </w:r>
            <w:r>
              <w:t>]</w:t>
            </w:r>
          </w:p>
        </w:tc>
      </w:tr>
      <w:tr w:rsidR="00C56B9B" w:rsidRPr="004C15D9" w:rsidTr="007B0C8A">
        <w:trPr>
          <w:jc w:val="center"/>
        </w:trPr>
        <w:tc>
          <w:tcPr>
            <w:tcW w:w="338" w:type="pct"/>
          </w:tcPr>
          <w:p w:rsidR="00C56B9B" w:rsidRPr="004C15D9" w:rsidRDefault="00C56B9B" w:rsidP="00C56B9B">
            <w:pPr>
              <w:widowControl w:val="0"/>
              <w:numPr>
                <w:ilvl w:val="0"/>
                <w:numId w:val="26"/>
              </w:numPr>
              <w:rPr>
                <w:rFonts w:eastAsia="PMingLiU"/>
                <w:b/>
              </w:rPr>
            </w:pPr>
          </w:p>
        </w:tc>
        <w:tc>
          <w:tcPr>
            <w:tcW w:w="1142" w:type="pct"/>
            <w:shd w:val="clear" w:color="auto" w:fill="auto"/>
          </w:tcPr>
          <w:p w:rsidR="00C56B9B" w:rsidRPr="004C15D9" w:rsidRDefault="00C56B9B" w:rsidP="00C56B9B">
            <w:pPr>
              <w:jc w:val="both"/>
            </w:pPr>
            <w:r w:rsidRPr="004C15D9">
              <w:rPr>
                <w:lang w:val="en-SG"/>
              </w:rPr>
              <w:t>Enhance the Global Trader Programme (“GTP”)</w:t>
            </w:r>
          </w:p>
        </w:tc>
        <w:tc>
          <w:tcPr>
            <w:tcW w:w="2579" w:type="pct"/>
          </w:tcPr>
          <w:p w:rsidR="00C56B9B" w:rsidRDefault="00C56B9B" w:rsidP="009D6971">
            <w:pPr>
              <w:pStyle w:val="ExpSectionText1"/>
              <w:ind w:firstLine="0"/>
              <w:rPr>
                <w:sz w:val="24"/>
                <w:szCs w:val="24"/>
              </w:rPr>
            </w:pPr>
            <w:r w:rsidRPr="004C15D9">
              <w:rPr>
                <w:sz w:val="24"/>
                <w:szCs w:val="24"/>
              </w:rPr>
              <w:t>To allow a company that carries on the following businesses to be approved under the GTP, subject to conditions:</w:t>
            </w:r>
          </w:p>
          <w:p w:rsidR="00C04425" w:rsidRPr="004C15D9" w:rsidRDefault="00C04425" w:rsidP="009D6971">
            <w:pPr>
              <w:pStyle w:val="ExpSectionText1"/>
              <w:ind w:firstLine="0"/>
              <w:rPr>
                <w:sz w:val="24"/>
                <w:szCs w:val="24"/>
              </w:rPr>
            </w:pPr>
          </w:p>
          <w:p w:rsidR="00C56B9B" w:rsidRPr="004C15D9" w:rsidRDefault="00C56B9B" w:rsidP="00C56B9B">
            <w:pPr>
              <w:pStyle w:val="ListParagraph"/>
              <w:numPr>
                <w:ilvl w:val="0"/>
                <w:numId w:val="36"/>
              </w:numPr>
              <w:contextualSpacing/>
              <w:jc w:val="both"/>
              <w:rPr>
                <w:sz w:val="24"/>
                <w:szCs w:val="24"/>
              </w:rPr>
            </w:pPr>
            <w:r w:rsidRPr="004C15D9">
              <w:rPr>
                <w:sz w:val="24"/>
                <w:szCs w:val="24"/>
              </w:rPr>
              <w:t xml:space="preserve">international trading in commodities derivatives; </w:t>
            </w:r>
          </w:p>
          <w:p w:rsidR="00C56B9B" w:rsidRPr="004C15D9" w:rsidRDefault="00C56B9B" w:rsidP="00C56B9B">
            <w:pPr>
              <w:pStyle w:val="ListParagraph"/>
              <w:numPr>
                <w:ilvl w:val="0"/>
                <w:numId w:val="36"/>
              </w:numPr>
              <w:contextualSpacing/>
              <w:jc w:val="both"/>
              <w:rPr>
                <w:sz w:val="24"/>
                <w:szCs w:val="24"/>
              </w:rPr>
            </w:pPr>
            <w:r w:rsidRPr="004C15D9">
              <w:rPr>
                <w:sz w:val="24"/>
                <w:szCs w:val="24"/>
              </w:rPr>
              <w:t>brokering international trades in commodities.</w:t>
            </w:r>
          </w:p>
          <w:p w:rsidR="00C56B9B" w:rsidRPr="004C15D9" w:rsidRDefault="00C56B9B" w:rsidP="00C56B9B">
            <w:pPr>
              <w:pStyle w:val="Default"/>
              <w:jc w:val="both"/>
              <w:rPr>
                <w:rFonts w:eastAsia="Times New Roman"/>
                <w:color w:val="auto"/>
                <w:lang w:val="en-US" w:eastAsia="en-US"/>
              </w:rPr>
            </w:pPr>
          </w:p>
          <w:p w:rsidR="00C56B9B" w:rsidRPr="004C15D9" w:rsidRDefault="00C56B9B" w:rsidP="009D6971">
            <w:pPr>
              <w:pStyle w:val="Default"/>
              <w:jc w:val="both"/>
            </w:pPr>
            <w:r w:rsidRPr="004C15D9">
              <w:rPr>
                <w:rFonts w:eastAsia="Times New Roman"/>
                <w:color w:val="auto"/>
                <w:lang w:val="en-US" w:eastAsia="en-US"/>
              </w:rPr>
              <w:t>Currently, businesses conducting such activities can only be approved under the GTP if they are also in the business of physical trading. The amendment will take effect from</w:t>
            </w:r>
            <w:r w:rsidR="00BE054F">
              <w:rPr>
                <w:rFonts w:eastAsia="Times New Roman"/>
                <w:color w:val="auto"/>
                <w:lang w:val="en-US" w:eastAsia="en-US"/>
              </w:rPr>
              <w:t xml:space="preserve"> </w:t>
            </w:r>
            <w:r w:rsidR="00BE054F" w:rsidRPr="00F21A88">
              <w:t>the date the Amendment Act is published in the Gazette</w:t>
            </w:r>
            <w:r w:rsidRPr="004C15D9">
              <w:rPr>
                <w:rFonts w:eastAsia="Times New Roman"/>
                <w:color w:val="auto"/>
                <w:lang w:val="en-US" w:eastAsia="en-US"/>
              </w:rPr>
              <w:t xml:space="preserve">.  </w:t>
            </w:r>
          </w:p>
        </w:tc>
        <w:tc>
          <w:tcPr>
            <w:tcW w:w="941" w:type="pct"/>
          </w:tcPr>
          <w:p w:rsidR="00C56B9B" w:rsidRDefault="00C56B9B" w:rsidP="00C56B9B">
            <w:r>
              <w:t>Section 43P</w:t>
            </w:r>
          </w:p>
          <w:p w:rsidR="00C56B9B" w:rsidRPr="004C15D9" w:rsidRDefault="00C56B9B" w:rsidP="008766E0">
            <w:r>
              <w:t xml:space="preserve">[Clause </w:t>
            </w:r>
            <w:r w:rsidR="00C04425">
              <w:t>2</w:t>
            </w:r>
            <w:r w:rsidR="008766E0">
              <w:t>8</w:t>
            </w:r>
            <w:r>
              <w:t xml:space="preserve"> ]</w:t>
            </w:r>
          </w:p>
        </w:tc>
      </w:tr>
      <w:tr w:rsidR="00C56B9B" w:rsidRPr="004C15D9" w:rsidTr="007B0C8A">
        <w:trPr>
          <w:jc w:val="center"/>
        </w:trPr>
        <w:tc>
          <w:tcPr>
            <w:tcW w:w="338" w:type="pct"/>
            <w:tcBorders>
              <w:bottom w:val="single" w:sz="4" w:space="0" w:color="auto"/>
            </w:tcBorders>
          </w:tcPr>
          <w:p w:rsidR="00C56B9B" w:rsidRPr="004C15D9" w:rsidRDefault="00C56B9B" w:rsidP="00C56B9B">
            <w:pPr>
              <w:widowControl w:val="0"/>
              <w:numPr>
                <w:ilvl w:val="0"/>
                <w:numId w:val="26"/>
              </w:numPr>
              <w:rPr>
                <w:rFonts w:eastAsia="PMingLiU"/>
                <w:b/>
                <w:lang w:val="en-SG"/>
              </w:rPr>
            </w:pPr>
          </w:p>
        </w:tc>
        <w:tc>
          <w:tcPr>
            <w:tcW w:w="1142" w:type="pct"/>
            <w:tcBorders>
              <w:bottom w:val="single" w:sz="4" w:space="0" w:color="auto"/>
            </w:tcBorders>
            <w:shd w:val="clear" w:color="auto" w:fill="auto"/>
          </w:tcPr>
          <w:p w:rsidR="00C56B9B" w:rsidRPr="004C15D9" w:rsidRDefault="00C56B9B" w:rsidP="00C56B9B">
            <w:pPr>
              <w:jc w:val="both"/>
            </w:pPr>
            <w:r w:rsidRPr="004C15D9">
              <w:t>Extend the concessionary income tax rate of 10% on distributions made by the trustee of a Real Estate Investment Trust (“REIT”) to qualifying  non-resident non-individual investors</w:t>
            </w:r>
          </w:p>
        </w:tc>
        <w:tc>
          <w:tcPr>
            <w:tcW w:w="2579" w:type="pct"/>
            <w:tcBorders>
              <w:bottom w:val="single" w:sz="4" w:space="0" w:color="auto"/>
            </w:tcBorders>
          </w:tcPr>
          <w:p w:rsidR="00C56B9B" w:rsidRPr="004C15D9" w:rsidRDefault="00C56B9B" w:rsidP="00C56B9B">
            <w:pPr>
              <w:spacing w:after="240"/>
              <w:jc w:val="both"/>
            </w:pPr>
            <w:r w:rsidRPr="004C15D9">
              <w:t>To continue to promote the listing of REITs in Singapore and strengthen Singapore’s position as a REITs hub in Asia, the concessionary income tax rate of 10% on distributions made by the trustee of a REIT to qualifying non-resident non-individual investors of listed REITs, among other tax concessions, was extended till 31 March 2020.</w:t>
            </w:r>
          </w:p>
          <w:p w:rsidR="00C56B9B" w:rsidRPr="004C15D9" w:rsidRDefault="00C56B9B" w:rsidP="00C56B9B">
            <w:pPr>
              <w:jc w:val="both"/>
            </w:pPr>
          </w:p>
        </w:tc>
        <w:tc>
          <w:tcPr>
            <w:tcW w:w="941" w:type="pct"/>
            <w:tcBorders>
              <w:bottom w:val="single" w:sz="4" w:space="0" w:color="auto"/>
            </w:tcBorders>
          </w:tcPr>
          <w:p w:rsidR="00C56B9B" w:rsidRDefault="00C56B9B" w:rsidP="00C56B9B">
            <w:r>
              <w:t>Section 45G</w:t>
            </w:r>
          </w:p>
          <w:p w:rsidR="00C56B9B" w:rsidRPr="004C15D9" w:rsidRDefault="00C56B9B" w:rsidP="008766E0">
            <w:r>
              <w:t xml:space="preserve">[Clause </w:t>
            </w:r>
            <w:r w:rsidR="00C04425">
              <w:t>3</w:t>
            </w:r>
            <w:r w:rsidR="008766E0">
              <w:t>5</w:t>
            </w:r>
            <w:r>
              <w:t>]</w:t>
            </w:r>
          </w:p>
        </w:tc>
      </w:tr>
      <w:tr w:rsidR="00C56B9B" w:rsidRPr="004C15D9" w:rsidTr="007B0C8A">
        <w:trPr>
          <w:jc w:val="center"/>
        </w:trPr>
        <w:tc>
          <w:tcPr>
            <w:tcW w:w="338" w:type="pct"/>
            <w:tcBorders>
              <w:bottom w:val="single" w:sz="4" w:space="0" w:color="auto"/>
            </w:tcBorders>
            <w:shd w:val="clear" w:color="auto" w:fill="auto"/>
          </w:tcPr>
          <w:p w:rsidR="00C56B9B" w:rsidRPr="004C15D9" w:rsidRDefault="00C56B9B" w:rsidP="00C56B9B">
            <w:pPr>
              <w:widowControl w:val="0"/>
              <w:numPr>
                <w:ilvl w:val="0"/>
                <w:numId w:val="26"/>
              </w:numPr>
              <w:rPr>
                <w:rFonts w:eastAsia="PMingLiU"/>
                <w:b/>
                <w:lang w:val="en-SG"/>
              </w:rPr>
            </w:pPr>
          </w:p>
        </w:tc>
        <w:tc>
          <w:tcPr>
            <w:tcW w:w="1142" w:type="pct"/>
            <w:tcBorders>
              <w:bottom w:val="single" w:sz="4" w:space="0" w:color="auto"/>
            </w:tcBorders>
            <w:shd w:val="clear" w:color="auto" w:fill="auto"/>
          </w:tcPr>
          <w:p w:rsidR="00C56B9B" w:rsidRPr="004C15D9" w:rsidRDefault="00C56B9B" w:rsidP="00C56B9B">
            <w:pPr>
              <w:jc w:val="both"/>
              <w:rPr>
                <w:rFonts w:eastAsiaTheme="minorEastAsia"/>
              </w:rPr>
            </w:pPr>
            <w:r w:rsidRPr="004C15D9">
              <w:rPr>
                <w:rFonts w:eastAsiaTheme="minorEastAsia"/>
              </w:rPr>
              <w:t>Revise a condition for tax deduction for tax resident individuals’ voluntary contributions to their Medisave accounts</w:t>
            </w:r>
          </w:p>
          <w:p w:rsidR="00C56B9B" w:rsidRPr="004C15D9" w:rsidRDefault="00C56B9B" w:rsidP="00C56B9B">
            <w:pPr>
              <w:jc w:val="both"/>
            </w:pPr>
          </w:p>
        </w:tc>
        <w:tc>
          <w:tcPr>
            <w:tcW w:w="2579" w:type="pct"/>
            <w:tcBorders>
              <w:bottom w:val="single" w:sz="4" w:space="0" w:color="auto"/>
            </w:tcBorders>
            <w:shd w:val="clear" w:color="auto" w:fill="auto"/>
          </w:tcPr>
          <w:p w:rsidR="00C56B9B" w:rsidRPr="004C15D9" w:rsidRDefault="00C56B9B" w:rsidP="00C56B9B">
            <w:pPr>
              <w:jc w:val="both"/>
            </w:pPr>
            <w:r w:rsidRPr="004C15D9">
              <w:t>Currently, one of the conditions for a tax deduction under section 39(2)(q) of the ITA for a voluntary contribution to an individual’s CPF Medisave account is that such contributions, together with the existing balance in the account, are within the “basic healthcare sum” (</w:t>
            </w:r>
            <w:r w:rsidR="00C526F8">
              <w:t>“</w:t>
            </w:r>
            <w:r w:rsidRPr="004C15D9">
              <w:t>BHS</w:t>
            </w:r>
            <w:r w:rsidR="00C526F8">
              <w:t>”</w:t>
            </w:r>
            <w:r w:rsidRPr="004C15D9">
              <w:t xml:space="preserve">), being the maximum amount directed by the Minister for Manpower under section 13(6) of the Central Provident Fund Act. </w:t>
            </w:r>
          </w:p>
          <w:p w:rsidR="00C56B9B" w:rsidRPr="004C15D9" w:rsidRDefault="00C56B9B" w:rsidP="00C56B9B">
            <w:pPr>
              <w:jc w:val="both"/>
            </w:pPr>
          </w:p>
          <w:p w:rsidR="00C56B9B" w:rsidRPr="004C15D9" w:rsidRDefault="00C56B9B" w:rsidP="00C56B9B">
            <w:pPr>
              <w:jc w:val="both"/>
            </w:pPr>
            <w:r w:rsidRPr="004C15D9">
              <w:t xml:space="preserve">With effect from 1 January 2017, the Minister may direct different maximum amounts for different </w:t>
            </w:r>
            <w:r w:rsidR="00BE054F">
              <w:t>classes</w:t>
            </w:r>
            <w:r w:rsidR="00BE054F" w:rsidRPr="004C15D9">
              <w:t xml:space="preserve"> </w:t>
            </w:r>
            <w:r w:rsidRPr="004C15D9">
              <w:t xml:space="preserve">of CPF members. Each cohort’s BHS is fixed when they turn 65 years old. The yearly BHS adjustment will continue to apply to cohorts aged below 65. </w:t>
            </w:r>
          </w:p>
          <w:p w:rsidR="00C56B9B" w:rsidRPr="004C15D9" w:rsidRDefault="00C56B9B" w:rsidP="00C56B9B">
            <w:pPr>
              <w:jc w:val="both"/>
            </w:pPr>
          </w:p>
          <w:p w:rsidR="00C56B9B" w:rsidRPr="004C15D9" w:rsidRDefault="00C56B9B" w:rsidP="00C56B9B">
            <w:pPr>
              <w:jc w:val="both"/>
            </w:pPr>
            <w:r w:rsidRPr="004C15D9">
              <w:t xml:space="preserve">This condition </w:t>
            </w:r>
            <w:r w:rsidR="00853FC5">
              <w:t>will be revised</w:t>
            </w:r>
            <w:r w:rsidRPr="004C15D9">
              <w:t>, with effect from 1 January 2017, to clarify that a voluntary contribution, together with existing balance in the Medisave account, has to be within the BHS applicable to the individual to qualify for tax deduction.</w:t>
            </w:r>
          </w:p>
        </w:tc>
        <w:tc>
          <w:tcPr>
            <w:tcW w:w="941" w:type="pct"/>
            <w:tcBorders>
              <w:bottom w:val="single" w:sz="4" w:space="0" w:color="auto"/>
            </w:tcBorders>
            <w:shd w:val="clear" w:color="auto" w:fill="auto"/>
          </w:tcPr>
          <w:p w:rsidR="00C56B9B" w:rsidRDefault="00C56B9B" w:rsidP="00C56B9B">
            <w:pPr>
              <w:jc w:val="both"/>
            </w:pPr>
            <w:r>
              <w:t>Section 39</w:t>
            </w:r>
          </w:p>
          <w:p w:rsidR="00C56B9B" w:rsidRPr="004C15D9" w:rsidRDefault="00C56B9B" w:rsidP="008766E0">
            <w:r>
              <w:t xml:space="preserve">[Clause </w:t>
            </w:r>
            <w:r w:rsidR="00C04425">
              <w:t>2</w:t>
            </w:r>
            <w:r w:rsidR="008766E0">
              <w:t>5</w:t>
            </w:r>
            <w:r>
              <w:t>]</w:t>
            </w:r>
          </w:p>
        </w:tc>
      </w:tr>
      <w:tr w:rsidR="00C56B9B" w:rsidRPr="004C15D9" w:rsidTr="007B0C8A">
        <w:trPr>
          <w:jc w:val="center"/>
        </w:trPr>
        <w:tc>
          <w:tcPr>
            <w:tcW w:w="338" w:type="pct"/>
            <w:tcBorders>
              <w:bottom w:val="single" w:sz="4" w:space="0" w:color="auto"/>
            </w:tcBorders>
            <w:shd w:val="clear" w:color="auto" w:fill="auto"/>
          </w:tcPr>
          <w:p w:rsidR="00C56B9B" w:rsidRPr="004C15D9" w:rsidRDefault="00C56B9B" w:rsidP="00C56B9B">
            <w:pPr>
              <w:widowControl w:val="0"/>
              <w:numPr>
                <w:ilvl w:val="0"/>
                <w:numId w:val="26"/>
              </w:numPr>
              <w:rPr>
                <w:rFonts w:eastAsia="PMingLiU"/>
                <w:b/>
              </w:rPr>
            </w:pPr>
          </w:p>
        </w:tc>
        <w:tc>
          <w:tcPr>
            <w:tcW w:w="1142" w:type="pct"/>
            <w:tcBorders>
              <w:bottom w:val="single" w:sz="4" w:space="0" w:color="auto"/>
            </w:tcBorders>
            <w:shd w:val="clear" w:color="auto" w:fill="auto"/>
          </w:tcPr>
          <w:p w:rsidR="00C56B9B" w:rsidRPr="004C15D9" w:rsidRDefault="00C56B9B" w:rsidP="00C56B9B">
            <w:pPr>
              <w:jc w:val="both"/>
            </w:pPr>
            <w:r w:rsidRPr="004C15D9">
              <w:t>Provide basis to implement an “opt-out” approach for digital tax notices</w:t>
            </w:r>
          </w:p>
        </w:tc>
        <w:tc>
          <w:tcPr>
            <w:tcW w:w="2579" w:type="pct"/>
            <w:tcBorders>
              <w:bottom w:val="single" w:sz="4" w:space="0" w:color="auto"/>
            </w:tcBorders>
            <w:shd w:val="clear" w:color="auto" w:fill="auto"/>
          </w:tcPr>
          <w:p w:rsidR="00C56B9B" w:rsidRDefault="00C56B9B" w:rsidP="00C56B9B">
            <w:pPr>
              <w:jc w:val="both"/>
            </w:pPr>
            <w:r w:rsidRPr="004C15D9">
              <w:t>The widespread use of computers and mobile devices allows taxpayers to receive digital instead of hardcopy tax notices. The use of digital notices gives taxpayers greater convenience, security and timeliness of alert. To enable more taxpayers to benefit from digital channels, the ITA will be amended so that taxpayers who wish to continue receiving hardcopies can opt out while others will receive digital tax notices. (The current provisions of the ITA require taxpayers to provide specific consent before the Comptroller can issue them with digital tax notices instead of hardcopy notices.) Taxpayers will have the flexibility to manage their preference for hardcopy or e-copy.</w:t>
            </w:r>
          </w:p>
          <w:p w:rsidR="0023013D" w:rsidRDefault="0023013D" w:rsidP="00C56B9B">
            <w:pPr>
              <w:jc w:val="both"/>
            </w:pPr>
          </w:p>
          <w:p w:rsidR="0023013D" w:rsidRPr="004C15D9" w:rsidRDefault="0023013D" w:rsidP="00C56B9B">
            <w:pPr>
              <w:jc w:val="both"/>
            </w:pPr>
            <w:r w:rsidRPr="0023013D">
              <w:t xml:space="preserve">For more information on the change, please refer to the </w:t>
            </w:r>
            <w:r w:rsidR="00407CC0">
              <w:t xml:space="preserve">draft </w:t>
            </w:r>
            <w:r w:rsidRPr="0023013D">
              <w:t>Goods and Services Tax (Electronic Service) Regulations 2017</w:t>
            </w:r>
            <w:r w:rsidR="00407CC0">
              <w:t xml:space="preserve"> (“GST e-Service Regulations”)</w:t>
            </w:r>
            <w:r>
              <w:t>. Provisions similar to those contained in th</w:t>
            </w:r>
            <w:r w:rsidR="00407CC0">
              <w:t>e GST e-Service Regulations will apply</w:t>
            </w:r>
            <w:r w:rsidRPr="0023013D">
              <w:t xml:space="preserve"> for income tax.</w:t>
            </w:r>
          </w:p>
          <w:p w:rsidR="00C56B9B" w:rsidRPr="004C15D9" w:rsidRDefault="00C56B9B" w:rsidP="00C56B9B">
            <w:pPr>
              <w:jc w:val="both"/>
            </w:pPr>
          </w:p>
          <w:p w:rsidR="00C56B9B" w:rsidRPr="004C15D9" w:rsidRDefault="00C56B9B" w:rsidP="00C56B9B">
            <w:pPr>
              <w:jc w:val="both"/>
            </w:pPr>
            <w:r w:rsidRPr="004C15D9">
              <w:t>The amendment will take effect from the date the Amendment Act is published in the Gazette.</w:t>
            </w:r>
          </w:p>
          <w:p w:rsidR="00C56B9B" w:rsidRPr="004C15D9" w:rsidRDefault="00C56B9B" w:rsidP="00C56B9B">
            <w:pPr>
              <w:jc w:val="both"/>
            </w:pPr>
          </w:p>
        </w:tc>
        <w:tc>
          <w:tcPr>
            <w:tcW w:w="941" w:type="pct"/>
            <w:tcBorders>
              <w:bottom w:val="single" w:sz="4" w:space="0" w:color="auto"/>
            </w:tcBorders>
            <w:shd w:val="clear" w:color="auto" w:fill="auto"/>
          </w:tcPr>
          <w:p w:rsidR="00C56B9B" w:rsidRDefault="00C56B9B" w:rsidP="00C56B9B">
            <w:r>
              <w:t>Sections 8 and 8A</w:t>
            </w:r>
          </w:p>
          <w:p w:rsidR="00C56B9B" w:rsidRPr="004C15D9" w:rsidRDefault="00C56B9B" w:rsidP="00C04425">
            <w:r>
              <w:t>[Claus</w:t>
            </w:r>
            <w:r w:rsidR="00C04425">
              <w:t>es 2 and 3</w:t>
            </w:r>
            <w:r>
              <w:t>]</w:t>
            </w:r>
          </w:p>
        </w:tc>
      </w:tr>
      <w:tr w:rsidR="00C56B9B" w:rsidRPr="004C15D9" w:rsidTr="007B0C8A">
        <w:trPr>
          <w:jc w:val="center"/>
        </w:trPr>
        <w:tc>
          <w:tcPr>
            <w:tcW w:w="338" w:type="pct"/>
            <w:tcBorders>
              <w:bottom w:val="single" w:sz="4" w:space="0" w:color="auto"/>
            </w:tcBorders>
            <w:shd w:val="clear" w:color="auto" w:fill="auto"/>
          </w:tcPr>
          <w:p w:rsidR="00C56B9B" w:rsidRPr="004C15D9" w:rsidRDefault="00C56B9B" w:rsidP="00C56B9B">
            <w:pPr>
              <w:widowControl w:val="0"/>
              <w:numPr>
                <w:ilvl w:val="0"/>
                <w:numId w:val="26"/>
              </w:numPr>
              <w:rPr>
                <w:rFonts w:eastAsia="PMingLiU"/>
                <w:b/>
              </w:rPr>
            </w:pPr>
          </w:p>
        </w:tc>
        <w:tc>
          <w:tcPr>
            <w:tcW w:w="1142" w:type="pct"/>
            <w:tcBorders>
              <w:bottom w:val="single" w:sz="4" w:space="0" w:color="auto"/>
            </w:tcBorders>
            <w:shd w:val="clear" w:color="auto" w:fill="auto"/>
          </w:tcPr>
          <w:p w:rsidR="00C56B9B" w:rsidRPr="004C15D9" w:rsidRDefault="00C56B9B" w:rsidP="004611AD">
            <w:pPr>
              <w:jc w:val="both"/>
            </w:pPr>
            <w:r w:rsidRPr="004C15D9">
              <w:t>Provide for greater operational flexibility for hearings at the Income Tax Board of Review (“</w:t>
            </w:r>
            <w:r w:rsidR="004611AD">
              <w:t>the Board</w:t>
            </w:r>
            <w:r w:rsidRPr="004C15D9">
              <w:t>”)</w:t>
            </w:r>
          </w:p>
        </w:tc>
        <w:tc>
          <w:tcPr>
            <w:tcW w:w="2579" w:type="pct"/>
            <w:tcBorders>
              <w:bottom w:val="single" w:sz="4" w:space="0" w:color="auto"/>
            </w:tcBorders>
            <w:shd w:val="clear" w:color="auto" w:fill="auto"/>
          </w:tcPr>
          <w:p w:rsidR="00C56B9B" w:rsidRPr="004C15D9" w:rsidRDefault="00C56B9B" w:rsidP="00C56B9B">
            <w:pPr>
              <w:jc w:val="both"/>
            </w:pPr>
            <w:r w:rsidRPr="004C15D9">
              <w:t xml:space="preserve">Under </w:t>
            </w:r>
            <w:r w:rsidR="00C526F8">
              <w:t>s</w:t>
            </w:r>
            <w:r w:rsidR="00C526F8" w:rsidRPr="004C15D9">
              <w:t xml:space="preserve">ection </w:t>
            </w:r>
            <w:r w:rsidRPr="004C15D9">
              <w:t xml:space="preserve">78 of the ITA, all the powers, duties and functions of the </w:t>
            </w:r>
            <w:r w:rsidR="004611AD">
              <w:t>Board</w:t>
            </w:r>
            <w:r w:rsidR="004611AD" w:rsidRPr="004C15D9">
              <w:t xml:space="preserve"> </w:t>
            </w:r>
            <w:r w:rsidRPr="004C15D9">
              <w:t xml:space="preserve">may be exercised, discharged or performed by any committee of the Board consisting of </w:t>
            </w:r>
            <w:r w:rsidRPr="004C15D9">
              <w:rPr>
                <w:i/>
              </w:rPr>
              <w:t>not less than 3 members</w:t>
            </w:r>
            <w:r w:rsidRPr="004C15D9">
              <w:t xml:space="preserve"> of the Board, at least one of whom shall be the Chairman of the Board or Deputy Chairman of the Board. </w:t>
            </w:r>
          </w:p>
          <w:p w:rsidR="00C56B9B" w:rsidRPr="004C15D9" w:rsidRDefault="00C56B9B" w:rsidP="00C56B9B">
            <w:pPr>
              <w:jc w:val="both"/>
            </w:pPr>
          </w:p>
          <w:p w:rsidR="00C56B9B" w:rsidRPr="004C15D9" w:rsidRDefault="00C56B9B" w:rsidP="00C56B9B">
            <w:pPr>
              <w:jc w:val="both"/>
            </w:pPr>
            <w:r w:rsidRPr="004C15D9">
              <w:t xml:space="preserve">To provide operational flexibility, it is proposed that at any time before delivery of the judgment on an appeal, if any member of the </w:t>
            </w:r>
            <w:r w:rsidR="004611AD">
              <w:t>c</w:t>
            </w:r>
            <w:r w:rsidR="004611AD" w:rsidRPr="004C15D9">
              <w:t xml:space="preserve">ommittee </w:t>
            </w:r>
            <w:r w:rsidRPr="004C15D9">
              <w:t xml:space="preserve">hearing the appeal is unable, through illness or any other cause, to continue to hear or to determine the appeal, the remaining members of the </w:t>
            </w:r>
            <w:r w:rsidR="004611AD">
              <w:t>c</w:t>
            </w:r>
            <w:r w:rsidR="004611AD" w:rsidRPr="004C15D9">
              <w:t>ommittee</w:t>
            </w:r>
            <w:r w:rsidRPr="004C15D9">
              <w:t>, not being less than 2, shall, if the parties consent, hear and determine the appeal.</w:t>
            </w:r>
          </w:p>
          <w:p w:rsidR="00C56B9B" w:rsidRPr="004C15D9" w:rsidRDefault="00C56B9B" w:rsidP="00C56B9B">
            <w:pPr>
              <w:jc w:val="both"/>
            </w:pPr>
          </w:p>
          <w:p w:rsidR="00C56B9B" w:rsidRDefault="00C56B9B" w:rsidP="00C56B9B">
            <w:pPr>
              <w:jc w:val="both"/>
            </w:pPr>
            <w:r w:rsidRPr="004C15D9">
              <w:t>The amendment will take effect from the date the Amendment Act is published in the Gazette.</w:t>
            </w:r>
          </w:p>
          <w:p w:rsidR="004611AD" w:rsidRPr="004C15D9" w:rsidRDefault="004611AD" w:rsidP="00C56B9B">
            <w:pPr>
              <w:jc w:val="both"/>
              <w:rPr>
                <w:lang w:val="en-GB" w:eastAsia="en-SG"/>
              </w:rPr>
            </w:pPr>
          </w:p>
        </w:tc>
        <w:tc>
          <w:tcPr>
            <w:tcW w:w="941" w:type="pct"/>
            <w:tcBorders>
              <w:bottom w:val="single" w:sz="4" w:space="0" w:color="auto"/>
            </w:tcBorders>
            <w:shd w:val="clear" w:color="auto" w:fill="auto"/>
          </w:tcPr>
          <w:p w:rsidR="00C56B9B" w:rsidRDefault="00C56B9B" w:rsidP="00C56B9B">
            <w:r>
              <w:t>Section 80A</w:t>
            </w:r>
          </w:p>
          <w:p w:rsidR="00C56B9B" w:rsidRPr="004C15D9" w:rsidRDefault="00C56B9B" w:rsidP="008766E0">
            <w:r>
              <w:t xml:space="preserve">[Clause </w:t>
            </w:r>
            <w:r w:rsidR="00C04425">
              <w:t>3</w:t>
            </w:r>
            <w:r w:rsidR="008766E0">
              <w:t>8</w:t>
            </w:r>
            <w:r>
              <w:t xml:space="preserve"> ]</w:t>
            </w:r>
          </w:p>
        </w:tc>
      </w:tr>
      <w:tr w:rsidR="00C56B9B" w:rsidRPr="004C15D9" w:rsidTr="007B0C8A">
        <w:trPr>
          <w:jc w:val="center"/>
        </w:trPr>
        <w:tc>
          <w:tcPr>
            <w:tcW w:w="338" w:type="pct"/>
            <w:shd w:val="clear" w:color="auto" w:fill="auto"/>
          </w:tcPr>
          <w:p w:rsidR="00C56B9B" w:rsidRPr="004C15D9" w:rsidRDefault="00C56B9B" w:rsidP="00C56B9B">
            <w:pPr>
              <w:widowControl w:val="0"/>
              <w:numPr>
                <w:ilvl w:val="0"/>
                <w:numId w:val="26"/>
              </w:numPr>
              <w:rPr>
                <w:rFonts w:eastAsia="PMingLiU"/>
                <w:b/>
              </w:rPr>
            </w:pPr>
          </w:p>
        </w:tc>
        <w:tc>
          <w:tcPr>
            <w:tcW w:w="1142" w:type="pct"/>
            <w:shd w:val="clear" w:color="auto" w:fill="auto"/>
          </w:tcPr>
          <w:p w:rsidR="004611AD" w:rsidRPr="004C15D9" w:rsidRDefault="00C56B9B" w:rsidP="00C56B9B">
            <w:pPr>
              <w:jc w:val="both"/>
            </w:pPr>
            <w:r w:rsidRPr="004C15D9">
              <w:t>Enable the Minister of Finance to declare competent authority agreements entered into between competent authorities of two</w:t>
            </w:r>
            <w:r>
              <w:t xml:space="preserve"> or more</w:t>
            </w:r>
            <w:r w:rsidRPr="004C15D9">
              <w:t xml:space="preserve"> contracting jurisdictions as international tax compliance agreements</w:t>
            </w:r>
          </w:p>
        </w:tc>
        <w:tc>
          <w:tcPr>
            <w:tcW w:w="2579" w:type="pct"/>
            <w:shd w:val="clear" w:color="auto" w:fill="auto"/>
          </w:tcPr>
          <w:p w:rsidR="00C56B9B" w:rsidRPr="004C15D9" w:rsidRDefault="00C56B9B" w:rsidP="00C56B9B">
            <w:pPr>
              <w:jc w:val="both"/>
            </w:pPr>
            <w:r w:rsidRPr="004C15D9">
              <w:t>To clarify that a competent authority agreement, entered into between IRAS and a competent authority in another jurisdiction</w:t>
            </w:r>
            <w:r>
              <w:t xml:space="preserve"> or competent authorities of two or more jurisdictions</w:t>
            </w:r>
            <w:r w:rsidRPr="004C15D9">
              <w:t>, is an international tax compliance agreement under section 105K.</w:t>
            </w:r>
          </w:p>
          <w:p w:rsidR="00C56B9B" w:rsidRPr="004C15D9" w:rsidRDefault="00C56B9B" w:rsidP="00C56B9B">
            <w:pPr>
              <w:autoSpaceDE w:val="0"/>
              <w:autoSpaceDN w:val="0"/>
              <w:jc w:val="both"/>
              <w:rPr>
                <w:lang w:val="en-GB"/>
              </w:rPr>
            </w:pPr>
          </w:p>
        </w:tc>
        <w:tc>
          <w:tcPr>
            <w:tcW w:w="941" w:type="pct"/>
            <w:shd w:val="clear" w:color="auto" w:fill="auto"/>
          </w:tcPr>
          <w:p w:rsidR="00C56B9B" w:rsidRDefault="00C56B9B" w:rsidP="00C56B9B">
            <w:r>
              <w:t>Section 105K</w:t>
            </w:r>
          </w:p>
          <w:p w:rsidR="00C56B9B" w:rsidRPr="004C15D9" w:rsidRDefault="00C56B9B" w:rsidP="008766E0">
            <w:r>
              <w:t xml:space="preserve">[Clause </w:t>
            </w:r>
            <w:r w:rsidR="00C04425">
              <w:t>4</w:t>
            </w:r>
            <w:r w:rsidR="008766E0">
              <w:t>2</w:t>
            </w:r>
            <w:r>
              <w:t>]</w:t>
            </w:r>
          </w:p>
        </w:tc>
      </w:tr>
      <w:tr w:rsidR="00C56B9B" w:rsidRPr="004C15D9" w:rsidTr="007B0C8A">
        <w:trPr>
          <w:jc w:val="center"/>
        </w:trPr>
        <w:tc>
          <w:tcPr>
            <w:tcW w:w="338" w:type="pct"/>
            <w:shd w:val="clear" w:color="auto" w:fill="auto"/>
          </w:tcPr>
          <w:p w:rsidR="00C56B9B" w:rsidRPr="004C15D9" w:rsidRDefault="00C56B9B" w:rsidP="00C56B9B">
            <w:pPr>
              <w:widowControl w:val="0"/>
              <w:numPr>
                <w:ilvl w:val="0"/>
                <w:numId w:val="26"/>
              </w:numPr>
              <w:rPr>
                <w:rFonts w:eastAsia="PMingLiU"/>
                <w:b/>
              </w:rPr>
            </w:pPr>
          </w:p>
        </w:tc>
        <w:tc>
          <w:tcPr>
            <w:tcW w:w="1142" w:type="pct"/>
            <w:shd w:val="clear" w:color="auto" w:fill="auto"/>
          </w:tcPr>
          <w:p w:rsidR="00C56B9B" w:rsidRPr="004C15D9" w:rsidRDefault="00C56B9B" w:rsidP="00C56B9B">
            <w:pPr>
              <w:jc w:val="both"/>
            </w:pPr>
            <w:r w:rsidRPr="004C15D9">
              <w:t>Amend the provision to make clear the tax treatment of  policy liabilities (“PL”) of insurers</w:t>
            </w:r>
          </w:p>
        </w:tc>
        <w:tc>
          <w:tcPr>
            <w:tcW w:w="2579" w:type="pct"/>
            <w:shd w:val="clear" w:color="auto" w:fill="auto"/>
          </w:tcPr>
          <w:p w:rsidR="00C56B9B" w:rsidRPr="004C15D9" w:rsidRDefault="00C56B9B" w:rsidP="00C56B9B">
            <w:pPr>
              <w:jc w:val="both"/>
            </w:pPr>
            <w:r w:rsidRPr="004C15D9">
              <w:t>The amendments are intended:</w:t>
            </w:r>
          </w:p>
          <w:p w:rsidR="00C56B9B" w:rsidRPr="004C15D9" w:rsidRDefault="00C56B9B" w:rsidP="00C56B9B">
            <w:pPr>
              <w:jc w:val="both"/>
            </w:pPr>
          </w:p>
          <w:p w:rsidR="00C56B9B" w:rsidRPr="004C15D9" w:rsidRDefault="00C56B9B" w:rsidP="00C56B9B">
            <w:pPr>
              <w:pStyle w:val="ListParagraph"/>
              <w:numPr>
                <w:ilvl w:val="0"/>
                <w:numId w:val="44"/>
              </w:numPr>
              <w:contextualSpacing/>
              <w:jc w:val="both"/>
              <w:rPr>
                <w:sz w:val="24"/>
                <w:szCs w:val="24"/>
              </w:rPr>
            </w:pPr>
            <w:r w:rsidRPr="004C15D9">
              <w:rPr>
                <w:sz w:val="24"/>
                <w:szCs w:val="24"/>
              </w:rPr>
              <w:t>To make clear that a tax deduction is granted to Singapore general (re)insurers for an amount equal to an increase in PLs, or taxing such (re)insurers on an amount equal to a decrease in PLs for each YA.</w:t>
            </w:r>
          </w:p>
          <w:p w:rsidR="00C56B9B" w:rsidRPr="004C15D9" w:rsidRDefault="00C56B9B" w:rsidP="00C56B9B">
            <w:pPr>
              <w:pStyle w:val="ListParagraph"/>
              <w:numPr>
                <w:ilvl w:val="0"/>
                <w:numId w:val="44"/>
              </w:numPr>
              <w:contextualSpacing/>
              <w:jc w:val="both"/>
              <w:rPr>
                <w:sz w:val="24"/>
                <w:szCs w:val="24"/>
              </w:rPr>
            </w:pPr>
            <w:r w:rsidRPr="004C15D9">
              <w:rPr>
                <w:sz w:val="24"/>
                <w:szCs w:val="24"/>
              </w:rPr>
              <w:t>To clarify the tax treatment when an insurer in Singapore (the transferee) takes over PLs of an insurance business from another person (the transferor).</w:t>
            </w:r>
          </w:p>
          <w:p w:rsidR="00C56B9B" w:rsidRPr="004C15D9" w:rsidRDefault="00C56B9B" w:rsidP="00C56B9B">
            <w:pPr>
              <w:jc w:val="both"/>
            </w:pPr>
          </w:p>
          <w:p w:rsidR="004611AD" w:rsidRPr="004C15D9" w:rsidRDefault="00C56B9B" w:rsidP="00C56B9B">
            <w:pPr>
              <w:jc w:val="both"/>
              <w:rPr>
                <w:lang w:val="en-GB"/>
              </w:rPr>
            </w:pPr>
            <w:r w:rsidRPr="004C15D9">
              <w:t>This applies for both general insurers and life insurers (in relation to non-participating fund and investment-linked fund).</w:t>
            </w:r>
            <w:r w:rsidR="000B208F">
              <w:t xml:space="preserve"> </w:t>
            </w:r>
            <w:r w:rsidRPr="004C15D9">
              <w:t>The amendment will take effect from the date the Amendment Act is published in the Gazette.</w:t>
            </w:r>
          </w:p>
        </w:tc>
        <w:tc>
          <w:tcPr>
            <w:tcW w:w="941" w:type="pct"/>
            <w:shd w:val="clear" w:color="auto" w:fill="auto"/>
          </w:tcPr>
          <w:p w:rsidR="00C56B9B" w:rsidRDefault="00C56B9B" w:rsidP="00C56B9B">
            <w:r>
              <w:t>Section 26</w:t>
            </w:r>
          </w:p>
          <w:p w:rsidR="00C56B9B" w:rsidRPr="004C15D9" w:rsidRDefault="00C56B9B" w:rsidP="00A878CF">
            <w:r>
              <w:t xml:space="preserve">[Clause </w:t>
            </w:r>
            <w:r w:rsidR="00C04425">
              <w:t>1</w:t>
            </w:r>
            <w:r w:rsidR="008766E0">
              <w:t>7</w:t>
            </w:r>
            <w:r>
              <w:t>]</w:t>
            </w:r>
          </w:p>
        </w:tc>
      </w:tr>
      <w:tr w:rsidR="00C56B9B" w:rsidRPr="004C15D9" w:rsidTr="007B0C8A">
        <w:trPr>
          <w:jc w:val="center"/>
        </w:trPr>
        <w:tc>
          <w:tcPr>
            <w:tcW w:w="338" w:type="pct"/>
            <w:shd w:val="clear" w:color="auto" w:fill="auto"/>
          </w:tcPr>
          <w:p w:rsidR="00C56B9B" w:rsidRPr="004C15D9" w:rsidRDefault="00C56B9B" w:rsidP="00C56B9B">
            <w:pPr>
              <w:widowControl w:val="0"/>
              <w:numPr>
                <w:ilvl w:val="0"/>
                <w:numId w:val="26"/>
              </w:numPr>
              <w:rPr>
                <w:rFonts w:eastAsia="PMingLiU"/>
                <w:b/>
              </w:rPr>
            </w:pPr>
          </w:p>
        </w:tc>
        <w:tc>
          <w:tcPr>
            <w:tcW w:w="1142" w:type="pct"/>
            <w:shd w:val="clear" w:color="auto" w:fill="auto"/>
          </w:tcPr>
          <w:p w:rsidR="00C56B9B" w:rsidRPr="004C15D9" w:rsidRDefault="00C56B9B" w:rsidP="00C56B9B">
            <w:pPr>
              <w:jc w:val="both"/>
            </w:pPr>
            <w:r w:rsidRPr="004C15D9">
              <w:t>Introduce Financial Reporting Standard (“FRS”) 109 tax treatment</w:t>
            </w:r>
          </w:p>
        </w:tc>
        <w:tc>
          <w:tcPr>
            <w:tcW w:w="2579" w:type="pct"/>
            <w:shd w:val="clear" w:color="auto" w:fill="auto"/>
          </w:tcPr>
          <w:p w:rsidR="00C56B9B" w:rsidRPr="004C15D9" w:rsidRDefault="00C56B9B" w:rsidP="00C56B9B">
            <w:pPr>
              <w:jc w:val="both"/>
            </w:pPr>
            <w:r w:rsidRPr="004C15D9">
              <w:t>To provide for the tax treatment of financial instruments under the new FRS 109 – Financial Instruments, which will apply to entities for financial periods beginning on or after 1 January 2018. FRS 109 replaces the existing FRS 39 – Financial Instruments: Recognition &amp; Measurement. The FRS 109 tax treatment, largely aligns the tax treatment of financial instruments to the accounting treatment.</w:t>
            </w:r>
          </w:p>
          <w:p w:rsidR="00C56B9B" w:rsidRPr="004C15D9" w:rsidRDefault="00C56B9B" w:rsidP="00C56B9B">
            <w:pPr>
              <w:pStyle w:val="Default"/>
              <w:jc w:val="both"/>
              <w:rPr>
                <w:color w:val="auto"/>
              </w:rPr>
            </w:pPr>
          </w:p>
        </w:tc>
        <w:tc>
          <w:tcPr>
            <w:tcW w:w="941" w:type="pct"/>
            <w:shd w:val="clear" w:color="auto" w:fill="auto"/>
          </w:tcPr>
          <w:p w:rsidR="00C56B9B" w:rsidRDefault="00C56B9B" w:rsidP="00C56B9B">
            <w:r>
              <w:t xml:space="preserve">Sections 13Z, 14I, </w:t>
            </w:r>
            <w:r w:rsidR="00C04425">
              <w:t xml:space="preserve">22, </w:t>
            </w:r>
            <w:r>
              <w:t>26, 34A and 34AA</w:t>
            </w:r>
          </w:p>
          <w:p w:rsidR="00C56B9B" w:rsidRDefault="00C56B9B" w:rsidP="00C56B9B">
            <w:r>
              <w:t xml:space="preserve">[Clauses </w:t>
            </w:r>
            <w:r w:rsidR="008766E0">
              <w:t>9, 13, 16, 17, 18 and 19</w:t>
            </w:r>
            <w:r>
              <w:t>]</w:t>
            </w:r>
          </w:p>
          <w:p w:rsidR="00C56B9B" w:rsidRPr="004C15D9" w:rsidRDefault="00C56B9B" w:rsidP="00C56B9B"/>
        </w:tc>
      </w:tr>
      <w:tr w:rsidR="00C56B9B" w:rsidRPr="004C15D9" w:rsidTr="007B0C8A">
        <w:trPr>
          <w:jc w:val="center"/>
        </w:trPr>
        <w:tc>
          <w:tcPr>
            <w:tcW w:w="338" w:type="pct"/>
            <w:shd w:val="clear" w:color="auto" w:fill="auto"/>
          </w:tcPr>
          <w:p w:rsidR="00C56B9B" w:rsidRPr="004C15D9" w:rsidRDefault="00C56B9B" w:rsidP="00C56B9B">
            <w:pPr>
              <w:widowControl w:val="0"/>
              <w:numPr>
                <w:ilvl w:val="0"/>
                <w:numId w:val="26"/>
              </w:numPr>
              <w:rPr>
                <w:rFonts w:eastAsia="PMingLiU"/>
                <w:b/>
              </w:rPr>
            </w:pPr>
          </w:p>
        </w:tc>
        <w:tc>
          <w:tcPr>
            <w:tcW w:w="1142" w:type="pct"/>
            <w:shd w:val="clear" w:color="auto" w:fill="auto"/>
          </w:tcPr>
          <w:p w:rsidR="00C56B9B" w:rsidRPr="004C15D9" w:rsidRDefault="00A22837" w:rsidP="00DE2FA8">
            <w:pPr>
              <w:jc w:val="both"/>
            </w:pPr>
            <w:r>
              <w:t>Provide for adjustments to the amount of statutory or exempt income arising from the adoption of FRS 115</w:t>
            </w:r>
          </w:p>
        </w:tc>
        <w:tc>
          <w:tcPr>
            <w:tcW w:w="2579" w:type="pct"/>
            <w:shd w:val="clear" w:color="auto" w:fill="auto"/>
          </w:tcPr>
          <w:p w:rsidR="00C56B9B" w:rsidRPr="004C15D9" w:rsidRDefault="00C56B9B" w:rsidP="00C56B9B">
            <w:pPr>
              <w:pStyle w:val="Default"/>
              <w:jc w:val="both"/>
            </w:pPr>
            <w:r w:rsidRPr="004C15D9">
              <w:t>FRS 115 –</w:t>
            </w:r>
            <w:r w:rsidR="00DE2FA8">
              <w:t xml:space="preserve"> Revenue from Contracts with Customers</w:t>
            </w:r>
            <w:r w:rsidRPr="004C15D9">
              <w:t xml:space="preserve">, will be effective </w:t>
            </w:r>
            <w:r w:rsidR="00A22837">
              <w:t>for</w:t>
            </w:r>
            <w:r w:rsidR="00A22837" w:rsidRPr="004C15D9">
              <w:t xml:space="preserve"> </w:t>
            </w:r>
            <w:r w:rsidRPr="004C15D9">
              <w:t>annual periods beginning on or after 1 January 2018. It supersedes existing accounting standards, FRS 11 – Construction Contracts, FRS 18 – Revenue, INT FRS 113</w:t>
            </w:r>
            <w:r w:rsidR="00DE2FA8">
              <w:t xml:space="preserve"> –</w:t>
            </w:r>
            <w:r w:rsidRPr="004C15D9">
              <w:t xml:space="preserve"> Customer Loyalty Programmes, INT FRS 115 – Agreements for the Construction of Real Estate, INT FRS 118 – Transfer</w:t>
            </w:r>
            <w:r w:rsidR="00A22837">
              <w:t>s</w:t>
            </w:r>
            <w:r w:rsidRPr="004C15D9">
              <w:t xml:space="preserve"> of Assets from Customers, and INT FRS 31 – Revenue: Barter Transactions involving Advertising Services.</w:t>
            </w:r>
          </w:p>
          <w:p w:rsidR="00C56B9B" w:rsidRPr="004C15D9" w:rsidRDefault="00C56B9B" w:rsidP="00C56B9B">
            <w:pPr>
              <w:pStyle w:val="Default"/>
              <w:jc w:val="both"/>
            </w:pPr>
          </w:p>
          <w:p w:rsidR="00C56B9B" w:rsidRDefault="00A22837" w:rsidP="00C56B9B">
            <w:pPr>
              <w:pStyle w:val="Default"/>
              <w:jc w:val="both"/>
            </w:pPr>
            <w:r>
              <w:t>To allow adjustments to be made to the amount of statutory or exempt income of a person for the YA of the basis period in which FRS 115 is first applied.</w:t>
            </w:r>
          </w:p>
          <w:p w:rsidR="00A22837" w:rsidRPr="004C15D9" w:rsidRDefault="00A22837" w:rsidP="00C56B9B">
            <w:pPr>
              <w:pStyle w:val="Default"/>
              <w:jc w:val="both"/>
            </w:pPr>
          </w:p>
          <w:p w:rsidR="00C56B9B" w:rsidRPr="00C04425" w:rsidRDefault="00C56B9B" w:rsidP="00C56B9B">
            <w:pPr>
              <w:pStyle w:val="Default"/>
              <w:jc w:val="both"/>
            </w:pPr>
            <w:r w:rsidRPr="004C15D9">
              <w:t>To introduce consequential amendment to section 10F of the ITA</w:t>
            </w:r>
            <w:r w:rsidR="00DE2FA8">
              <w:t>,</w:t>
            </w:r>
            <w:r w:rsidRPr="004C15D9">
              <w:t xml:space="preserve"> which makes reference to FRS 11.</w:t>
            </w:r>
          </w:p>
        </w:tc>
        <w:tc>
          <w:tcPr>
            <w:tcW w:w="941" w:type="pct"/>
            <w:shd w:val="clear" w:color="auto" w:fill="auto"/>
          </w:tcPr>
          <w:p w:rsidR="00C56B9B" w:rsidRDefault="00C56B9B" w:rsidP="00C56B9B">
            <w:r>
              <w:t>Section</w:t>
            </w:r>
            <w:r w:rsidR="00A22837">
              <w:t>s</w:t>
            </w:r>
            <w:r>
              <w:t xml:space="preserve"> 10F and 34I</w:t>
            </w:r>
          </w:p>
          <w:p w:rsidR="00C56B9B" w:rsidRPr="004C15D9" w:rsidRDefault="00C04425" w:rsidP="008766E0">
            <w:r>
              <w:t xml:space="preserve">[Clauses </w:t>
            </w:r>
            <w:r w:rsidR="008766E0">
              <w:t>5</w:t>
            </w:r>
            <w:r>
              <w:t xml:space="preserve"> and 2</w:t>
            </w:r>
            <w:r w:rsidR="008766E0">
              <w:t>3</w:t>
            </w:r>
            <w:r w:rsidR="00C56B9B">
              <w:t>]</w:t>
            </w:r>
          </w:p>
        </w:tc>
      </w:tr>
      <w:tr w:rsidR="00C56B9B" w:rsidRPr="004C15D9" w:rsidTr="007B0C8A">
        <w:trPr>
          <w:jc w:val="center"/>
        </w:trPr>
        <w:tc>
          <w:tcPr>
            <w:tcW w:w="338" w:type="pct"/>
            <w:shd w:val="clear" w:color="auto" w:fill="auto"/>
          </w:tcPr>
          <w:p w:rsidR="00C56B9B" w:rsidRPr="004C15D9" w:rsidRDefault="00C56B9B" w:rsidP="00C56B9B">
            <w:pPr>
              <w:widowControl w:val="0"/>
              <w:numPr>
                <w:ilvl w:val="0"/>
                <w:numId w:val="26"/>
              </w:numPr>
              <w:rPr>
                <w:rFonts w:eastAsia="PMingLiU"/>
                <w:b/>
              </w:rPr>
            </w:pPr>
          </w:p>
        </w:tc>
        <w:tc>
          <w:tcPr>
            <w:tcW w:w="1142" w:type="pct"/>
            <w:shd w:val="clear" w:color="auto" w:fill="auto"/>
          </w:tcPr>
          <w:p w:rsidR="004611AD" w:rsidRPr="004C15D9" w:rsidRDefault="00C56B9B" w:rsidP="004611AD">
            <w:pPr>
              <w:jc w:val="both"/>
            </w:pPr>
            <w:r w:rsidRPr="004C15D9">
              <w:t xml:space="preserve">Amend the provision relating to the applicable penalties for </w:t>
            </w:r>
            <w:r w:rsidR="00D25EA2">
              <w:t xml:space="preserve">failure to give requisite notification to the Comptroller after tax has been withheld </w:t>
            </w:r>
          </w:p>
        </w:tc>
        <w:tc>
          <w:tcPr>
            <w:tcW w:w="2579" w:type="pct"/>
            <w:shd w:val="clear" w:color="auto" w:fill="auto"/>
          </w:tcPr>
          <w:p w:rsidR="00C56B9B" w:rsidRPr="004C15D9" w:rsidRDefault="00C56B9B" w:rsidP="00C56B9B">
            <w:pPr>
              <w:jc w:val="both"/>
            </w:pPr>
            <w:r w:rsidRPr="004C15D9">
              <w:t>To clarify that penalties would apply if requisite notification is not given to the Comptroller</w:t>
            </w:r>
            <w:r w:rsidR="00C71224">
              <w:t>, regardless of the amount of tax withheld</w:t>
            </w:r>
            <w:r w:rsidRPr="004C15D9">
              <w:t>.</w:t>
            </w:r>
          </w:p>
          <w:p w:rsidR="00C56B9B" w:rsidRPr="004C15D9" w:rsidRDefault="00C56B9B" w:rsidP="00C56B9B">
            <w:pPr>
              <w:jc w:val="both"/>
            </w:pPr>
          </w:p>
          <w:p w:rsidR="00C56B9B" w:rsidRPr="004C15D9" w:rsidRDefault="00C56B9B" w:rsidP="00C56B9B">
            <w:pPr>
              <w:pStyle w:val="Default"/>
              <w:jc w:val="both"/>
              <w:rPr>
                <w:color w:val="auto"/>
              </w:rPr>
            </w:pPr>
            <w:r w:rsidRPr="004C15D9">
              <w:rPr>
                <w:lang w:val="en-SG"/>
              </w:rPr>
              <w:t xml:space="preserve">The amendment will take effect from </w:t>
            </w:r>
            <w:r w:rsidRPr="004C15D9">
              <w:t>the date the Amendment Act is published in the Gazette.</w:t>
            </w:r>
          </w:p>
        </w:tc>
        <w:tc>
          <w:tcPr>
            <w:tcW w:w="941" w:type="pct"/>
            <w:shd w:val="clear" w:color="auto" w:fill="auto"/>
          </w:tcPr>
          <w:p w:rsidR="00C56B9B" w:rsidRDefault="00C56B9B" w:rsidP="00C56B9B">
            <w:r>
              <w:t>Section 45</w:t>
            </w:r>
          </w:p>
          <w:p w:rsidR="00C56B9B" w:rsidRPr="004C15D9" w:rsidRDefault="00C56B9B" w:rsidP="008766E0">
            <w:r>
              <w:t xml:space="preserve">[Clause </w:t>
            </w:r>
            <w:r w:rsidR="00C04425">
              <w:t>3</w:t>
            </w:r>
            <w:r w:rsidR="008766E0">
              <w:t>4</w:t>
            </w:r>
            <w:r>
              <w:t xml:space="preserve"> ]</w:t>
            </w:r>
          </w:p>
        </w:tc>
      </w:tr>
      <w:tr w:rsidR="00C56B9B" w:rsidRPr="004C15D9" w:rsidTr="007B0C8A">
        <w:trPr>
          <w:jc w:val="center"/>
        </w:trPr>
        <w:tc>
          <w:tcPr>
            <w:tcW w:w="338" w:type="pct"/>
            <w:shd w:val="clear" w:color="auto" w:fill="auto"/>
          </w:tcPr>
          <w:p w:rsidR="00C56B9B" w:rsidRPr="004C15D9" w:rsidRDefault="00C56B9B" w:rsidP="00C56B9B">
            <w:pPr>
              <w:widowControl w:val="0"/>
              <w:numPr>
                <w:ilvl w:val="0"/>
                <w:numId w:val="26"/>
              </w:numPr>
              <w:rPr>
                <w:rFonts w:eastAsia="PMingLiU"/>
                <w:b/>
              </w:rPr>
            </w:pPr>
          </w:p>
        </w:tc>
        <w:tc>
          <w:tcPr>
            <w:tcW w:w="1142" w:type="pct"/>
            <w:shd w:val="clear" w:color="auto" w:fill="auto"/>
          </w:tcPr>
          <w:p w:rsidR="00C56B9B" w:rsidRPr="004C15D9" w:rsidRDefault="00C56B9B" w:rsidP="00C56B9B">
            <w:pPr>
              <w:jc w:val="both"/>
            </w:pPr>
            <w:r w:rsidRPr="004C15D9">
              <w:t>Rename the National Service Recognition Award as the National Service Housing, Medical and Education Awards</w:t>
            </w:r>
          </w:p>
        </w:tc>
        <w:tc>
          <w:tcPr>
            <w:tcW w:w="2579" w:type="pct"/>
            <w:shd w:val="clear" w:color="auto" w:fill="auto"/>
          </w:tcPr>
          <w:p w:rsidR="00C56B9B" w:rsidRPr="004C15D9" w:rsidRDefault="00C56B9B" w:rsidP="00C56B9B">
            <w:pPr>
              <w:jc w:val="both"/>
              <w:rPr>
                <w:lang w:val="en-SG" w:eastAsia="zh-CN"/>
              </w:rPr>
            </w:pPr>
            <w:r w:rsidRPr="004C15D9">
              <w:rPr>
                <w:lang w:eastAsia="zh-CN"/>
              </w:rPr>
              <w:t>With the “National Service Recognition Award” renamed as the “National Service Housing, Medical and Education Awards”, the provisions for the tax exemption of the award will be updated correspondingly.  </w:t>
            </w:r>
          </w:p>
          <w:p w:rsidR="00C56B9B" w:rsidRPr="004C15D9" w:rsidRDefault="00C56B9B" w:rsidP="00C56B9B">
            <w:pPr>
              <w:jc w:val="both"/>
              <w:rPr>
                <w:lang w:eastAsia="zh-CN"/>
              </w:rPr>
            </w:pPr>
            <w:r w:rsidRPr="004C15D9">
              <w:rPr>
                <w:lang w:eastAsia="zh-CN"/>
              </w:rPr>
              <w:t> </w:t>
            </w:r>
          </w:p>
          <w:p w:rsidR="00C56B9B" w:rsidRPr="004C15D9" w:rsidRDefault="00C56B9B" w:rsidP="00C56B9B">
            <w:pPr>
              <w:jc w:val="both"/>
            </w:pPr>
            <w:r w:rsidRPr="004C15D9">
              <w:t>The amendment will take effect from 1 April 2014.</w:t>
            </w:r>
          </w:p>
          <w:p w:rsidR="00C56B9B" w:rsidRPr="004C15D9" w:rsidRDefault="00C56B9B" w:rsidP="00C56B9B">
            <w:pPr>
              <w:pStyle w:val="Default"/>
              <w:jc w:val="both"/>
              <w:rPr>
                <w:color w:val="auto"/>
              </w:rPr>
            </w:pPr>
          </w:p>
        </w:tc>
        <w:tc>
          <w:tcPr>
            <w:tcW w:w="941" w:type="pct"/>
            <w:shd w:val="clear" w:color="auto" w:fill="auto"/>
          </w:tcPr>
          <w:p w:rsidR="00C56B9B" w:rsidRDefault="00C56B9B" w:rsidP="00C56B9B">
            <w:r>
              <w:t>Section 13</w:t>
            </w:r>
          </w:p>
          <w:p w:rsidR="00C56B9B" w:rsidRPr="004C15D9" w:rsidRDefault="00C56B9B" w:rsidP="008766E0">
            <w:r>
              <w:t xml:space="preserve">[Clause </w:t>
            </w:r>
            <w:r w:rsidR="008766E0">
              <w:t>6</w:t>
            </w:r>
            <w:r>
              <w:t xml:space="preserve"> ]</w:t>
            </w:r>
          </w:p>
        </w:tc>
      </w:tr>
      <w:tr w:rsidR="00C56B9B" w:rsidRPr="004C15D9" w:rsidTr="007B0C8A">
        <w:trPr>
          <w:jc w:val="center"/>
        </w:trPr>
        <w:tc>
          <w:tcPr>
            <w:tcW w:w="338" w:type="pct"/>
            <w:shd w:val="clear" w:color="auto" w:fill="auto"/>
          </w:tcPr>
          <w:p w:rsidR="00C56B9B" w:rsidRPr="004C15D9" w:rsidRDefault="00C56B9B" w:rsidP="00C56B9B">
            <w:pPr>
              <w:widowControl w:val="0"/>
              <w:numPr>
                <w:ilvl w:val="0"/>
                <w:numId w:val="26"/>
              </w:numPr>
              <w:rPr>
                <w:rFonts w:eastAsia="PMingLiU"/>
                <w:b/>
              </w:rPr>
            </w:pPr>
          </w:p>
        </w:tc>
        <w:tc>
          <w:tcPr>
            <w:tcW w:w="1142" w:type="pct"/>
            <w:shd w:val="clear" w:color="auto" w:fill="auto"/>
          </w:tcPr>
          <w:p w:rsidR="00C56B9B" w:rsidRPr="004C15D9" w:rsidRDefault="00C56B9B" w:rsidP="00C56B9B">
            <w:pPr>
              <w:jc w:val="both"/>
            </w:pPr>
            <w:r w:rsidRPr="004C15D9">
              <w:t>Repeal the provision relating to the temporary liberalisation of foreign sourced income exemption (“FSIE”)</w:t>
            </w:r>
          </w:p>
        </w:tc>
        <w:tc>
          <w:tcPr>
            <w:tcW w:w="2579" w:type="pct"/>
            <w:shd w:val="clear" w:color="auto" w:fill="auto"/>
          </w:tcPr>
          <w:p w:rsidR="00C56B9B" w:rsidRPr="004C15D9" w:rsidRDefault="00C56B9B" w:rsidP="00C56B9B">
            <w:pPr>
              <w:pStyle w:val="Default"/>
              <w:jc w:val="both"/>
              <w:rPr>
                <w:rFonts w:eastAsia="Times New Roman"/>
                <w:color w:val="auto"/>
                <w:lang w:val="en-US" w:eastAsia="en-US"/>
              </w:rPr>
            </w:pPr>
            <w:r w:rsidRPr="004C15D9">
              <w:rPr>
                <w:rFonts w:eastAsia="Times New Roman"/>
                <w:color w:val="auto"/>
                <w:lang w:val="en-US" w:eastAsia="en-US"/>
              </w:rPr>
              <w:t xml:space="preserve">The provision is obsolete as the temporary </w:t>
            </w:r>
            <w:r w:rsidR="00A22837" w:rsidRPr="004C15D9">
              <w:rPr>
                <w:rFonts w:eastAsia="Times New Roman"/>
                <w:color w:val="auto"/>
                <w:lang w:val="en-US" w:eastAsia="en-US"/>
              </w:rPr>
              <w:t>liberali</w:t>
            </w:r>
            <w:r w:rsidR="00A22837">
              <w:rPr>
                <w:rFonts w:eastAsia="Times New Roman"/>
                <w:color w:val="auto"/>
                <w:lang w:val="en-US" w:eastAsia="en-US"/>
              </w:rPr>
              <w:t>s</w:t>
            </w:r>
            <w:r w:rsidR="00A22837" w:rsidRPr="004C15D9">
              <w:rPr>
                <w:rFonts w:eastAsia="Times New Roman"/>
                <w:color w:val="auto"/>
                <w:lang w:val="en-US" w:eastAsia="en-US"/>
              </w:rPr>
              <w:t xml:space="preserve">ation </w:t>
            </w:r>
            <w:r w:rsidRPr="004C15D9">
              <w:rPr>
                <w:rFonts w:eastAsia="Times New Roman"/>
                <w:color w:val="auto"/>
                <w:lang w:val="en-US" w:eastAsia="en-US"/>
              </w:rPr>
              <w:t>of FSIE no longer applies.</w:t>
            </w:r>
          </w:p>
          <w:p w:rsidR="00C56B9B" w:rsidRPr="004C15D9" w:rsidRDefault="00C56B9B" w:rsidP="00C56B9B">
            <w:pPr>
              <w:pStyle w:val="Default"/>
              <w:jc w:val="both"/>
              <w:rPr>
                <w:color w:val="auto"/>
              </w:rPr>
            </w:pPr>
          </w:p>
        </w:tc>
        <w:tc>
          <w:tcPr>
            <w:tcW w:w="941" w:type="pct"/>
            <w:shd w:val="clear" w:color="auto" w:fill="auto"/>
          </w:tcPr>
          <w:p w:rsidR="00C56B9B" w:rsidRDefault="00C56B9B" w:rsidP="00C56B9B">
            <w:r>
              <w:t>Section 13</w:t>
            </w:r>
          </w:p>
          <w:p w:rsidR="00C56B9B" w:rsidRPr="004C15D9" w:rsidRDefault="00C56B9B" w:rsidP="008766E0">
            <w:r>
              <w:t xml:space="preserve">[Clause </w:t>
            </w:r>
            <w:r w:rsidR="00C04425">
              <w:t>4</w:t>
            </w:r>
            <w:r w:rsidR="008766E0">
              <w:t>3</w:t>
            </w:r>
            <w:r>
              <w:t>]</w:t>
            </w:r>
          </w:p>
        </w:tc>
      </w:tr>
      <w:tr w:rsidR="00C56B9B" w:rsidRPr="004C15D9" w:rsidTr="007B0C8A">
        <w:trPr>
          <w:jc w:val="center"/>
        </w:trPr>
        <w:tc>
          <w:tcPr>
            <w:tcW w:w="338" w:type="pct"/>
            <w:shd w:val="clear" w:color="auto" w:fill="auto"/>
          </w:tcPr>
          <w:p w:rsidR="00C56B9B" w:rsidRPr="004C15D9" w:rsidRDefault="00C56B9B" w:rsidP="00C56B9B">
            <w:pPr>
              <w:widowControl w:val="0"/>
              <w:numPr>
                <w:ilvl w:val="0"/>
                <w:numId w:val="26"/>
              </w:numPr>
              <w:rPr>
                <w:rFonts w:eastAsia="PMingLiU"/>
                <w:b/>
              </w:rPr>
            </w:pPr>
          </w:p>
        </w:tc>
        <w:tc>
          <w:tcPr>
            <w:tcW w:w="1142" w:type="pct"/>
            <w:shd w:val="clear" w:color="auto" w:fill="auto"/>
          </w:tcPr>
          <w:p w:rsidR="00C56B9B" w:rsidRPr="004C15D9" w:rsidRDefault="00C56B9B" w:rsidP="00C56B9B">
            <w:pPr>
              <w:jc w:val="both"/>
            </w:pPr>
            <w:r w:rsidRPr="004C15D9">
              <w:t>Repeal the provision relating to temporary enhancement of loss carry-back relief for YA</w:t>
            </w:r>
            <w:r w:rsidR="0098243D">
              <w:t xml:space="preserve"> </w:t>
            </w:r>
            <w:r w:rsidRPr="004C15D9">
              <w:t>2009 and YA</w:t>
            </w:r>
            <w:r w:rsidR="0098243D">
              <w:t xml:space="preserve"> </w:t>
            </w:r>
            <w:r w:rsidRPr="004C15D9">
              <w:t xml:space="preserve">2010 </w:t>
            </w:r>
          </w:p>
          <w:p w:rsidR="00C56B9B" w:rsidRPr="004C15D9" w:rsidRDefault="00C56B9B" w:rsidP="00C56B9B">
            <w:pPr>
              <w:jc w:val="both"/>
            </w:pPr>
          </w:p>
        </w:tc>
        <w:tc>
          <w:tcPr>
            <w:tcW w:w="2579" w:type="pct"/>
            <w:shd w:val="clear" w:color="auto" w:fill="auto"/>
          </w:tcPr>
          <w:p w:rsidR="00C56B9B" w:rsidRPr="004C15D9" w:rsidRDefault="00C56B9B" w:rsidP="00C56B9B">
            <w:pPr>
              <w:pStyle w:val="Default"/>
              <w:jc w:val="both"/>
              <w:rPr>
                <w:rFonts w:eastAsia="Times New Roman"/>
                <w:color w:val="auto"/>
                <w:lang w:val="en-US" w:eastAsia="en-US"/>
              </w:rPr>
            </w:pPr>
            <w:r w:rsidRPr="004C15D9">
              <w:rPr>
                <w:rFonts w:eastAsia="Times New Roman"/>
                <w:color w:val="auto"/>
                <w:lang w:val="en-US" w:eastAsia="en-US"/>
              </w:rPr>
              <w:t>The provision is obsolete as the temporary enhancement of loss carry-back relief no longer applies.</w:t>
            </w:r>
          </w:p>
          <w:p w:rsidR="00C56B9B" w:rsidRPr="004C15D9" w:rsidRDefault="00C56B9B" w:rsidP="00C56B9B">
            <w:pPr>
              <w:pStyle w:val="Default"/>
              <w:jc w:val="both"/>
              <w:rPr>
                <w:color w:val="auto"/>
              </w:rPr>
            </w:pPr>
          </w:p>
        </w:tc>
        <w:tc>
          <w:tcPr>
            <w:tcW w:w="941" w:type="pct"/>
            <w:shd w:val="clear" w:color="auto" w:fill="auto"/>
          </w:tcPr>
          <w:p w:rsidR="00C56B9B" w:rsidRDefault="00C56B9B" w:rsidP="00C56B9B">
            <w:r>
              <w:t>Sections 23, 36A, 36C, 37 and 37E</w:t>
            </w:r>
          </w:p>
          <w:p w:rsidR="00C56B9B" w:rsidRPr="004C15D9" w:rsidRDefault="00C56B9B" w:rsidP="008766E0">
            <w:r>
              <w:t xml:space="preserve">[Clause </w:t>
            </w:r>
            <w:r w:rsidR="00C04425">
              <w:t>4</w:t>
            </w:r>
            <w:r w:rsidR="008766E0">
              <w:t>3</w:t>
            </w:r>
            <w:r>
              <w:t>]</w:t>
            </w:r>
          </w:p>
        </w:tc>
      </w:tr>
      <w:tr w:rsidR="00C56B9B" w:rsidRPr="004C15D9" w:rsidTr="007B0C8A">
        <w:trPr>
          <w:jc w:val="center"/>
        </w:trPr>
        <w:tc>
          <w:tcPr>
            <w:tcW w:w="338" w:type="pct"/>
            <w:shd w:val="clear" w:color="auto" w:fill="auto"/>
          </w:tcPr>
          <w:p w:rsidR="00C56B9B" w:rsidRPr="004C15D9" w:rsidRDefault="00C56B9B" w:rsidP="00C56B9B">
            <w:pPr>
              <w:widowControl w:val="0"/>
              <w:numPr>
                <w:ilvl w:val="0"/>
                <w:numId w:val="26"/>
              </w:numPr>
              <w:rPr>
                <w:rFonts w:eastAsia="PMingLiU"/>
                <w:b/>
              </w:rPr>
            </w:pPr>
          </w:p>
        </w:tc>
        <w:tc>
          <w:tcPr>
            <w:tcW w:w="1142" w:type="pct"/>
            <w:shd w:val="clear" w:color="auto" w:fill="auto"/>
          </w:tcPr>
          <w:p w:rsidR="00C56B9B" w:rsidRPr="004C15D9" w:rsidRDefault="00C56B9B" w:rsidP="00C56B9B">
            <w:pPr>
              <w:jc w:val="both"/>
            </w:pPr>
            <w:r w:rsidRPr="004C15D9">
              <w:t xml:space="preserve">Repeal the provision relating to deduction for hotel refurbishment expenditure </w:t>
            </w:r>
          </w:p>
          <w:p w:rsidR="00C56B9B" w:rsidRPr="004C15D9" w:rsidRDefault="00C56B9B" w:rsidP="00C56B9B">
            <w:pPr>
              <w:jc w:val="both"/>
            </w:pPr>
          </w:p>
        </w:tc>
        <w:tc>
          <w:tcPr>
            <w:tcW w:w="2579" w:type="pct"/>
            <w:shd w:val="clear" w:color="auto" w:fill="auto"/>
          </w:tcPr>
          <w:p w:rsidR="00C56B9B" w:rsidRPr="004C15D9" w:rsidRDefault="00C56B9B" w:rsidP="00C56B9B">
            <w:pPr>
              <w:pStyle w:val="Default"/>
              <w:jc w:val="both"/>
              <w:rPr>
                <w:rFonts w:eastAsia="Times New Roman"/>
                <w:color w:val="auto"/>
                <w:lang w:val="en-US" w:eastAsia="en-US"/>
              </w:rPr>
            </w:pPr>
            <w:r w:rsidRPr="004C15D9">
              <w:rPr>
                <w:rFonts w:eastAsia="Times New Roman"/>
                <w:color w:val="auto"/>
                <w:lang w:val="en-US" w:eastAsia="en-US"/>
              </w:rPr>
              <w:t xml:space="preserve">The provision is obsolete as the scheme had expired on 30 June 2003 and no new awards can be granted after the sunset date. </w:t>
            </w:r>
          </w:p>
          <w:p w:rsidR="00C56B9B" w:rsidRPr="004C15D9" w:rsidRDefault="00C56B9B" w:rsidP="00C56B9B">
            <w:pPr>
              <w:tabs>
                <w:tab w:val="left" w:pos="2039"/>
              </w:tabs>
              <w:jc w:val="both"/>
              <w:rPr>
                <w:lang w:val="en-GB" w:eastAsia="zh-CN"/>
              </w:rPr>
            </w:pPr>
          </w:p>
        </w:tc>
        <w:tc>
          <w:tcPr>
            <w:tcW w:w="941" w:type="pct"/>
            <w:shd w:val="clear" w:color="auto" w:fill="auto"/>
          </w:tcPr>
          <w:p w:rsidR="00C56B9B" w:rsidRDefault="00C56B9B" w:rsidP="00C56B9B">
            <w:r>
              <w:t>Sections 14M and 15</w:t>
            </w:r>
          </w:p>
          <w:p w:rsidR="00C56B9B" w:rsidRDefault="00C56B9B" w:rsidP="00C56B9B">
            <w:r>
              <w:t xml:space="preserve">[Clause </w:t>
            </w:r>
            <w:r w:rsidR="00C04425">
              <w:t>4</w:t>
            </w:r>
            <w:r w:rsidR="008766E0">
              <w:t>3</w:t>
            </w:r>
            <w:r>
              <w:t>]</w:t>
            </w:r>
          </w:p>
          <w:p w:rsidR="00C56B9B" w:rsidRPr="004C15D9" w:rsidRDefault="00C56B9B" w:rsidP="00C56B9B"/>
        </w:tc>
      </w:tr>
      <w:tr w:rsidR="00C56B9B" w:rsidRPr="004C15D9" w:rsidTr="007B0C8A">
        <w:trPr>
          <w:jc w:val="center"/>
        </w:trPr>
        <w:tc>
          <w:tcPr>
            <w:tcW w:w="338" w:type="pct"/>
            <w:shd w:val="clear" w:color="auto" w:fill="auto"/>
          </w:tcPr>
          <w:p w:rsidR="00C56B9B" w:rsidRPr="004C15D9" w:rsidRDefault="00C56B9B" w:rsidP="00C56B9B">
            <w:pPr>
              <w:widowControl w:val="0"/>
              <w:numPr>
                <w:ilvl w:val="0"/>
                <w:numId w:val="26"/>
              </w:numPr>
              <w:rPr>
                <w:rFonts w:eastAsia="PMingLiU"/>
                <w:b/>
              </w:rPr>
            </w:pPr>
          </w:p>
        </w:tc>
        <w:tc>
          <w:tcPr>
            <w:tcW w:w="1142" w:type="pct"/>
            <w:shd w:val="clear" w:color="auto" w:fill="auto"/>
          </w:tcPr>
          <w:p w:rsidR="00C56B9B" w:rsidRPr="004C15D9" w:rsidRDefault="00C56B9B" w:rsidP="00C56B9B">
            <w:pPr>
              <w:jc w:val="both"/>
            </w:pPr>
            <w:r w:rsidRPr="004C15D9">
              <w:t xml:space="preserve">Repeal the provision relating to the concessionary tax rate for income derived from organising or staging tourism event </w:t>
            </w:r>
          </w:p>
          <w:p w:rsidR="00C56B9B" w:rsidRPr="004C15D9" w:rsidRDefault="00C56B9B" w:rsidP="00C56B9B">
            <w:pPr>
              <w:jc w:val="both"/>
            </w:pPr>
          </w:p>
        </w:tc>
        <w:tc>
          <w:tcPr>
            <w:tcW w:w="2579" w:type="pct"/>
            <w:shd w:val="clear" w:color="auto" w:fill="auto"/>
          </w:tcPr>
          <w:p w:rsidR="00C56B9B" w:rsidRPr="004C15D9" w:rsidRDefault="00C56B9B" w:rsidP="00C56B9B">
            <w:pPr>
              <w:pStyle w:val="Default"/>
              <w:jc w:val="both"/>
              <w:rPr>
                <w:rFonts w:eastAsia="Times New Roman"/>
                <w:color w:val="auto"/>
                <w:lang w:val="en-US" w:eastAsia="en-US"/>
              </w:rPr>
            </w:pPr>
            <w:r w:rsidRPr="004C15D9">
              <w:rPr>
                <w:rFonts w:eastAsia="Times New Roman"/>
                <w:color w:val="auto"/>
                <w:lang w:val="en-US" w:eastAsia="en-US"/>
              </w:rPr>
              <w:t xml:space="preserve">The provision is obsolete as the scheme has expired on 31 March 2010 and no new awards can be granted after the sunset date. </w:t>
            </w:r>
          </w:p>
          <w:p w:rsidR="00C56B9B" w:rsidRPr="004C15D9" w:rsidRDefault="00C56B9B" w:rsidP="00C56B9B">
            <w:pPr>
              <w:pStyle w:val="Default"/>
              <w:jc w:val="both"/>
              <w:rPr>
                <w:color w:val="auto"/>
              </w:rPr>
            </w:pPr>
          </w:p>
        </w:tc>
        <w:tc>
          <w:tcPr>
            <w:tcW w:w="941" w:type="pct"/>
            <w:shd w:val="clear" w:color="auto" w:fill="auto"/>
          </w:tcPr>
          <w:p w:rsidR="00C56B9B" w:rsidRPr="00F21A88" w:rsidRDefault="00C56B9B" w:rsidP="009D6971">
            <w:pPr>
              <w:pStyle w:val="SectionHeading"/>
              <w:spacing w:before="0"/>
              <w:rPr>
                <w:b w:val="0"/>
                <w:sz w:val="24"/>
                <w:szCs w:val="24"/>
              </w:rPr>
            </w:pPr>
            <w:r w:rsidRPr="00F21A88">
              <w:rPr>
                <w:b w:val="0"/>
                <w:sz w:val="24"/>
                <w:szCs w:val="24"/>
              </w:rPr>
              <w:t>Sections 14D, 37B, 37E and 43U</w:t>
            </w:r>
          </w:p>
          <w:p w:rsidR="00C56B9B" w:rsidRPr="00F54006" w:rsidRDefault="00C56B9B" w:rsidP="00C56B9B">
            <w:pPr>
              <w:rPr>
                <w:lang w:val="en-GB"/>
              </w:rPr>
            </w:pPr>
            <w:r w:rsidRPr="00F54006">
              <w:rPr>
                <w:lang w:val="en-GB"/>
              </w:rPr>
              <w:t xml:space="preserve">[Clause </w:t>
            </w:r>
            <w:r w:rsidR="00C04425">
              <w:rPr>
                <w:lang w:val="en-GB"/>
              </w:rPr>
              <w:t>4</w:t>
            </w:r>
            <w:r w:rsidR="008766E0">
              <w:rPr>
                <w:lang w:val="en-GB"/>
              </w:rPr>
              <w:t>3</w:t>
            </w:r>
            <w:r w:rsidRPr="00F54006">
              <w:rPr>
                <w:lang w:val="en-GB"/>
              </w:rPr>
              <w:t>]</w:t>
            </w:r>
          </w:p>
          <w:p w:rsidR="00C56B9B" w:rsidRPr="00F21A88" w:rsidRDefault="00C56B9B" w:rsidP="00C56B9B">
            <w:pPr>
              <w:pStyle w:val="SectionHeading"/>
              <w:rPr>
                <w:sz w:val="24"/>
                <w:szCs w:val="24"/>
              </w:rPr>
            </w:pPr>
          </w:p>
          <w:p w:rsidR="00C56B9B" w:rsidRDefault="00C56B9B" w:rsidP="00C56B9B">
            <w:pPr>
              <w:jc w:val="both"/>
            </w:pPr>
            <w:r w:rsidRPr="00F21A88">
              <w:t>Consequential amendment to Economic Expansion Incentives (Relief from Income Tax) Act Section 66</w:t>
            </w:r>
          </w:p>
          <w:p w:rsidR="00CE42CC" w:rsidRPr="00F21A88" w:rsidRDefault="00CE42CC" w:rsidP="00C56B9B">
            <w:pPr>
              <w:jc w:val="both"/>
            </w:pPr>
            <w:r>
              <w:t>[Clause 45]</w:t>
            </w:r>
          </w:p>
          <w:p w:rsidR="00C56B9B" w:rsidRPr="00F54006" w:rsidRDefault="00C56B9B" w:rsidP="00C04425">
            <w:pPr>
              <w:jc w:val="both"/>
              <w:rPr>
                <w:lang w:val="en-GB"/>
              </w:rPr>
            </w:pPr>
          </w:p>
        </w:tc>
      </w:tr>
      <w:bookmarkEnd w:id="0"/>
    </w:tbl>
    <w:p w:rsidR="001658FB" w:rsidRPr="004C15D9" w:rsidRDefault="001658FB" w:rsidP="000F6F83"/>
    <w:sectPr w:rsidR="001658FB" w:rsidRPr="004C15D9" w:rsidSect="00860C1A">
      <w:footerReference w:type="even" r:id="rId12"/>
      <w:footerReference w:type="defaul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83" w:rsidRDefault="00982383">
      <w:r>
        <w:separator/>
      </w:r>
    </w:p>
  </w:endnote>
  <w:endnote w:type="continuationSeparator" w:id="0">
    <w:p w:rsidR="00982383" w:rsidRDefault="00982383">
      <w:r>
        <w:continuationSeparator/>
      </w:r>
    </w:p>
  </w:endnote>
  <w:endnote w:type="continuationNotice" w:id="1">
    <w:p w:rsidR="00982383" w:rsidRDefault="00982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84" w:rsidRDefault="008D7584" w:rsidP="00BA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7584" w:rsidRDefault="008D7584" w:rsidP="00BA7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8056"/>
      <w:docPartObj>
        <w:docPartGallery w:val="Page Numbers (Bottom of Page)"/>
        <w:docPartUnique/>
      </w:docPartObj>
    </w:sdtPr>
    <w:sdtEndPr/>
    <w:sdtContent>
      <w:p w:rsidR="008D7584" w:rsidRDefault="008D7584">
        <w:pPr>
          <w:pStyle w:val="Footer"/>
          <w:jc w:val="right"/>
        </w:pPr>
        <w:r>
          <w:fldChar w:fldCharType="begin"/>
        </w:r>
        <w:r>
          <w:instrText xml:space="preserve"> PAGE   \* MERGEFORMAT </w:instrText>
        </w:r>
        <w:r>
          <w:fldChar w:fldCharType="separate"/>
        </w:r>
        <w:r w:rsidR="006E52A9">
          <w:rPr>
            <w:noProof/>
          </w:rPr>
          <w:t>2</w:t>
        </w:r>
        <w:r>
          <w:rPr>
            <w:noProof/>
          </w:rPr>
          <w:fldChar w:fldCharType="end"/>
        </w:r>
      </w:p>
    </w:sdtContent>
  </w:sdt>
  <w:p w:rsidR="008D7584" w:rsidRDefault="008D7584" w:rsidP="00BA73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83" w:rsidRDefault="00982383">
      <w:r>
        <w:separator/>
      </w:r>
    </w:p>
  </w:footnote>
  <w:footnote w:type="continuationSeparator" w:id="0">
    <w:p w:rsidR="00982383" w:rsidRDefault="00982383">
      <w:r>
        <w:continuationSeparator/>
      </w:r>
    </w:p>
  </w:footnote>
  <w:footnote w:type="continuationNotice" w:id="1">
    <w:p w:rsidR="00982383" w:rsidRDefault="00982383"/>
  </w:footnote>
  <w:footnote w:id="2">
    <w:p w:rsidR="008D7584" w:rsidRPr="00FC4D4E" w:rsidRDefault="008D7584" w:rsidP="004C15D9">
      <w:pPr>
        <w:pStyle w:val="FootnoteText"/>
      </w:pPr>
      <w:r>
        <w:rPr>
          <w:rStyle w:val="FootnoteReference"/>
        </w:rPr>
        <w:footnoteRef/>
      </w:r>
      <w:r>
        <w:t xml:space="preserve"> Section 93A of the ITA allows any person to make an application (within a four-year time limit after the end of the YA in which an assessment has been made) in writing to the Comptroller for relief where the person alleges that an assessment is excessive or any unabsorbed loss, allowance or donation that may be carried forward ought to be of a higher amount, by reason of some error or mistake made in the return or statement by himself.</w:t>
      </w:r>
    </w:p>
  </w:footnote>
  <w:footnote w:id="3">
    <w:p w:rsidR="008D7584" w:rsidRPr="00CD55E7" w:rsidRDefault="008D7584" w:rsidP="009B5913">
      <w:pPr>
        <w:pStyle w:val="FootnoteText"/>
        <w:tabs>
          <w:tab w:val="left" w:pos="7050"/>
        </w:tabs>
        <w:rPr>
          <w:lang w:val="en-US"/>
        </w:rPr>
      </w:pPr>
      <w:r w:rsidRPr="00E27564">
        <w:rPr>
          <w:rStyle w:val="FootnoteReference"/>
        </w:rPr>
        <w:footnoteRef/>
      </w:r>
      <w:r w:rsidRPr="00E27564">
        <w:t xml:space="preserve"> </w:t>
      </w:r>
      <w:r w:rsidRPr="00E27564">
        <w:rPr>
          <w:lang w:val="en-US"/>
        </w:rPr>
        <w:t xml:space="preserve">There are also contributions made by an eligible company to an SEPs’ </w:t>
      </w:r>
      <w:r>
        <w:rPr>
          <w:lang w:val="en-US"/>
        </w:rPr>
        <w:t>M</w:t>
      </w:r>
      <w:r w:rsidRPr="00E27564">
        <w:rPr>
          <w:lang w:val="en-US"/>
        </w:rPr>
        <w:t>edisave account which are not deemed as income. For example, co-contributions under the Drive and Save Scheme are not deemed as income.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7C2"/>
    <w:multiLevelType w:val="hybridMultilevel"/>
    <w:tmpl w:val="F3EC59E0"/>
    <w:lvl w:ilvl="0" w:tplc="A75047B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0945D67"/>
    <w:multiLevelType w:val="hybridMultilevel"/>
    <w:tmpl w:val="07F20CF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1F3536"/>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5914537"/>
    <w:multiLevelType w:val="multilevel"/>
    <w:tmpl w:val="2D0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815E7"/>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B70779F"/>
    <w:multiLevelType w:val="hybridMultilevel"/>
    <w:tmpl w:val="39221572"/>
    <w:lvl w:ilvl="0" w:tplc="96666EE8">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B9F7F56"/>
    <w:multiLevelType w:val="hybridMultilevel"/>
    <w:tmpl w:val="971801C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9D02BA"/>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153BC"/>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31E1F6E"/>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57E8B"/>
    <w:multiLevelType w:val="multilevel"/>
    <w:tmpl w:val="75D4B268"/>
    <w:lvl w:ilvl="0">
      <w:start w:val="1"/>
      <w:numFmt w:val="lowerRoman"/>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DB548E"/>
    <w:multiLevelType w:val="multilevel"/>
    <w:tmpl w:val="45DC9DAE"/>
    <w:lvl w:ilvl="0">
      <w:start w:val="1"/>
      <w:numFmt w:val="lowerRoman"/>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91A46"/>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18E7780"/>
    <w:multiLevelType w:val="multilevel"/>
    <w:tmpl w:val="7E1EE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485A09"/>
    <w:multiLevelType w:val="multilevel"/>
    <w:tmpl w:val="A428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D85E4D"/>
    <w:multiLevelType w:val="hybridMultilevel"/>
    <w:tmpl w:val="6F84B44A"/>
    <w:lvl w:ilvl="0" w:tplc="2CBECE5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E3A3494"/>
    <w:multiLevelType w:val="hybridMultilevel"/>
    <w:tmpl w:val="D9C29BFC"/>
    <w:lvl w:ilvl="0" w:tplc="94E22EB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1F25ED3"/>
    <w:multiLevelType w:val="hybridMultilevel"/>
    <w:tmpl w:val="FE28EA74"/>
    <w:lvl w:ilvl="0" w:tplc="2B5A85CC">
      <w:start w:val="1"/>
      <w:numFmt w:val="lowerLetter"/>
      <w:lvlText w:val="%1)"/>
      <w:lvlJc w:val="left"/>
      <w:pPr>
        <w:ind w:left="1080" w:hanging="72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8" w15:restartNumberingAfterBreak="0">
    <w:nsid w:val="37213AA5"/>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A1031E1"/>
    <w:multiLevelType w:val="multilevel"/>
    <w:tmpl w:val="880477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34C1030"/>
    <w:multiLevelType w:val="hybridMultilevel"/>
    <w:tmpl w:val="F258D0F0"/>
    <w:lvl w:ilvl="0" w:tplc="CFB273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43025A6"/>
    <w:multiLevelType w:val="hybridMultilevel"/>
    <w:tmpl w:val="57DC0E72"/>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2" w15:restartNumberingAfterBreak="0">
    <w:nsid w:val="465D3341"/>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49E64615"/>
    <w:multiLevelType w:val="hybridMultilevel"/>
    <w:tmpl w:val="A7248460"/>
    <w:lvl w:ilvl="0" w:tplc="0BC61A70">
      <w:start w:val="1"/>
      <w:numFmt w:val="lowerLetter"/>
      <w:lvlText w:val="%1)"/>
      <w:lvlJc w:val="left"/>
      <w:pPr>
        <w:ind w:left="1569"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4" w15:restartNumberingAfterBreak="0">
    <w:nsid w:val="52B10DD8"/>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55915F99"/>
    <w:multiLevelType w:val="hybridMultilevel"/>
    <w:tmpl w:val="7572F97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67631B1"/>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9F42180"/>
    <w:multiLevelType w:val="hybridMultilevel"/>
    <w:tmpl w:val="A45E297E"/>
    <w:lvl w:ilvl="0" w:tplc="5B6CCBB0">
      <w:start w:val="2"/>
      <w:numFmt w:val="decimal"/>
      <w:lvlText w:val="%1."/>
      <w:lvlJc w:val="left"/>
      <w:pPr>
        <w:ind w:left="720" w:hanging="360"/>
      </w:pPr>
      <w:rPr>
        <w:rFonts w:hint="default"/>
        <w:b w:val="0"/>
      </w:rPr>
    </w:lvl>
    <w:lvl w:ilvl="1" w:tplc="DAF0AAD6">
      <w:start w:val="1"/>
      <w:numFmt w:val="lowerLetter"/>
      <w:lvlText w:val="%2)"/>
      <w:lvlJc w:val="left"/>
      <w:pPr>
        <w:ind w:left="1440" w:hanging="360"/>
      </w:pPr>
      <w:rPr>
        <w:b w:val="0"/>
      </w:rPr>
    </w:lvl>
    <w:lvl w:ilvl="2" w:tplc="4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0D671B"/>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D2405B5"/>
    <w:multiLevelType w:val="hybridMultilevel"/>
    <w:tmpl w:val="AB54552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25E74F7"/>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50D7545"/>
    <w:multiLevelType w:val="multilevel"/>
    <w:tmpl w:val="65A25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BDA4E7C"/>
    <w:multiLevelType w:val="multilevel"/>
    <w:tmpl w:val="608E7B04"/>
    <w:lvl w:ilvl="0">
      <w:start w:val="1"/>
      <w:numFmt w:val="upperLetter"/>
      <w:lvlText w:val="%1."/>
      <w:lvlJc w:val="left"/>
      <w:pPr>
        <w:ind w:left="786" w:hanging="360"/>
      </w:pPr>
      <w:rPr>
        <w:rFonts w:ascii="Arial" w:hAnsi="Arial" w:cs="Arial" w:hint="default"/>
      </w:rPr>
    </w:lvl>
    <w:lvl w:ilvl="1">
      <w:start w:val="1"/>
      <w:numFmt w:val="decimal"/>
      <w:lvlText w:val="%1.%2."/>
      <w:lvlJc w:val="left"/>
      <w:pPr>
        <w:ind w:left="1218" w:hanging="432"/>
      </w:pPr>
      <w:rPr>
        <w:rFonts w:hint="default"/>
        <w:strike w:val="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pStyle w:val="Heading5"/>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3" w15:restartNumberingAfterBreak="0">
    <w:nsid w:val="6C01355D"/>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E77111F"/>
    <w:multiLevelType w:val="hybridMultilevel"/>
    <w:tmpl w:val="9746C19A"/>
    <w:lvl w:ilvl="0" w:tplc="A29A591C">
      <w:start w:val="1"/>
      <w:numFmt w:val="lowerLetter"/>
      <w:lvlText w:val="%1)"/>
      <w:lvlJc w:val="left"/>
      <w:pPr>
        <w:ind w:left="720" w:hanging="360"/>
      </w:pPr>
      <w:rPr>
        <w:sz w:val="24"/>
        <w:szCs w:val="24"/>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5" w15:restartNumberingAfterBreak="0">
    <w:nsid w:val="72EF125C"/>
    <w:multiLevelType w:val="multilevel"/>
    <w:tmpl w:val="EF202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261857"/>
    <w:multiLevelType w:val="hybridMultilevel"/>
    <w:tmpl w:val="0DD87BA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5214505"/>
    <w:multiLevelType w:val="hybridMultilevel"/>
    <w:tmpl w:val="19D0AF1E"/>
    <w:lvl w:ilvl="0" w:tplc="28A6EE4E">
      <w:start w:val="1"/>
      <w:numFmt w:val="decimal"/>
      <w:lvlText w:val="%1"/>
      <w:lvlJc w:val="right"/>
      <w:pPr>
        <w:ind w:left="107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58E1021"/>
    <w:multiLevelType w:val="hybridMultilevel"/>
    <w:tmpl w:val="01CC3B4A"/>
    <w:lvl w:ilvl="0" w:tplc="9E80FD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C562D4"/>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631113A"/>
    <w:multiLevelType w:val="hybridMultilevel"/>
    <w:tmpl w:val="BF387DF0"/>
    <w:lvl w:ilvl="0" w:tplc="4538D5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CC203F"/>
    <w:multiLevelType w:val="hybridMultilevel"/>
    <w:tmpl w:val="C8260C5C"/>
    <w:lvl w:ilvl="0" w:tplc="1AFC8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CD636F"/>
    <w:multiLevelType w:val="hybridMultilevel"/>
    <w:tmpl w:val="306CE4DC"/>
    <w:lvl w:ilvl="0" w:tplc="63400752">
      <w:start w:val="1"/>
      <w:numFmt w:val="lowerLetter"/>
      <w:lvlText w:val="%1)"/>
      <w:lvlJc w:val="left"/>
      <w:pPr>
        <w:ind w:left="720" w:hanging="360"/>
      </w:pPr>
      <w:rPr>
        <w:rFonts w:hint="default"/>
        <w:color w:val="auto"/>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2"/>
  </w:num>
  <w:num w:numId="2">
    <w:abstractNumId w:val="1"/>
  </w:num>
  <w:num w:numId="3">
    <w:abstractNumId w:val="6"/>
  </w:num>
  <w:num w:numId="4">
    <w:abstractNumId w:val="14"/>
  </w:num>
  <w:num w:numId="5">
    <w:abstractNumId w:val="13"/>
  </w:num>
  <w:num w:numId="6">
    <w:abstractNumId w:val="3"/>
  </w:num>
  <w:num w:numId="7">
    <w:abstractNumId w:val="19"/>
  </w:num>
  <w:num w:numId="8">
    <w:abstractNumId w:val="31"/>
  </w:num>
  <w:num w:numId="9">
    <w:abstractNumId w:val="41"/>
  </w:num>
  <w:num w:numId="10">
    <w:abstractNumId w:val="11"/>
  </w:num>
  <w:num w:numId="11">
    <w:abstractNumId w:val="35"/>
  </w:num>
  <w:num w:numId="12">
    <w:abstractNumId w:val="20"/>
  </w:num>
  <w:num w:numId="13">
    <w:abstractNumId w:val="10"/>
  </w:num>
  <w:num w:numId="14">
    <w:abstractNumId w:val="40"/>
  </w:num>
  <w:num w:numId="15">
    <w:abstractNumId w:val="7"/>
  </w:num>
  <w:num w:numId="16">
    <w:abstractNumId w:val="38"/>
  </w:num>
  <w:num w:numId="17">
    <w:abstractNumId w:val="4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1"/>
  </w:num>
  <w:num w:numId="26">
    <w:abstractNumId w:val="37"/>
  </w:num>
  <w:num w:numId="27">
    <w:abstractNumId w:val="27"/>
  </w:num>
  <w:num w:numId="28">
    <w:abstractNumId w:val="25"/>
  </w:num>
  <w:num w:numId="29">
    <w:abstractNumId w:val="29"/>
  </w:num>
  <w:num w:numId="30">
    <w:abstractNumId w:val="36"/>
  </w:num>
  <w:num w:numId="31">
    <w:abstractNumId w:val="5"/>
  </w:num>
  <w:num w:numId="32">
    <w:abstractNumId w:val="15"/>
  </w:num>
  <w:num w:numId="33">
    <w:abstractNumId w:val="26"/>
  </w:num>
  <w:num w:numId="34">
    <w:abstractNumId w:val="12"/>
  </w:num>
  <w:num w:numId="35">
    <w:abstractNumId w:val="18"/>
  </w:num>
  <w:num w:numId="36">
    <w:abstractNumId w:val="39"/>
  </w:num>
  <w:num w:numId="37">
    <w:abstractNumId w:val="28"/>
  </w:num>
  <w:num w:numId="38">
    <w:abstractNumId w:val="8"/>
  </w:num>
  <w:num w:numId="39">
    <w:abstractNumId w:val="2"/>
  </w:num>
  <w:num w:numId="40">
    <w:abstractNumId w:val="4"/>
  </w:num>
  <w:num w:numId="41">
    <w:abstractNumId w:val="33"/>
  </w:num>
  <w:num w:numId="42">
    <w:abstractNumId w:val="16"/>
  </w:num>
  <w:num w:numId="43">
    <w:abstractNumId w:val="0"/>
  </w:num>
  <w:num w:numId="4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02"/>
    <w:rsid w:val="00000048"/>
    <w:rsid w:val="00001C9D"/>
    <w:rsid w:val="00002F54"/>
    <w:rsid w:val="000031AE"/>
    <w:rsid w:val="00003B0E"/>
    <w:rsid w:val="000044DA"/>
    <w:rsid w:val="00004FB7"/>
    <w:rsid w:val="00005562"/>
    <w:rsid w:val="00006AC7"/>
    <w:rsid w:val="00007BE7"/>
    <w:rsid w:val="00011248"/>
    <w:rsid w:val="0001301B"/>
    <w:rsid w:val="00016803"/>
    <w:rsid w:val="00016AF3"/>
    <w:rsid w:val="00020258"/>
    <w:rsid w:val="00023C7C"/>
    <w:rsid w:val="000241DC"/>
    <w:rsid w:val="00024D9F"/>
    <w:rsid w:val="000258AB"/>
    <w:rsid w:val="00034FBC"/>
    <w:rsid w:val="00036CDF"/>
    <w:rsid w:val="00041C33"/>
    <w:rsid w:val="000439B7"/>
    <w:rsid w:val="00046117"/>
    <w:rsid w:val="00046FD5"/>
    <w:rsid w:val="00050439"/>
    <w:rsid w:val="000511F4"/>
    <w:rsid w:val="000519C6"/>
    <w:rsid w:val="0005277F"/>
    <w:rsid w:val="00056DE9"/>
    <w:rsid w:val="00057396"/>
    <w:rsid w:val="00057D7C"/>
    <w:rsid w:val="00057F34"/>
    <w:rsid w:val="00061429"/>
    <w:rsid w:val="0006157A"/>
    <w:rsid w:val="00063115"/>
    <w:rsid w:val="000632BC"/>
    <w:rsid w:val="000652FC"/>
    <w:rsid w:val="0006673B"/>
    <w:rsid w:val="0006698B"/>
    <w:rsid w:val="000674A5"/>
    <w:rsid w:val="0007034D"/>
    <w:rsid w:val="00070FF3"/>
    <w:rsid w:val="000722CA"/>
    <w:rsid w:val="00073010"/>
    <w:rsid w:val="00076DA3"/>
    <w:rsid w:val="0008357E"/>
    <w:rsid w:val="000840CE"/>
    <w:rsid w:val="00084887"/>
    <w:rsid w:val="00084FBD"/>
    <w:rsid w:val="00085341"/>
    <w:rsid w:val="00085E19"/>
    <w:rsid w:val="00086215"/>
    <w:rsid w:val="00086B65"/>
    <w:rsid w:val="0009063E"/>
    <w:rsid w:val="00090F6B"/>
    <w:rsid w:val="0009144E"/>
    <w:rsid w:val="000934E4"/>
    <w:rsid w:val="00093EC2"/>
    <w:rsid w:val="00094244"/>
    <w:rsid w:val="00094DF0"/>
    <w:rsid w:val="0009745C"/>
    <w:rsid w:val="00097F5C"/>
    <w:rsid w:val="000A0D21"/>
    <w:rsid w:val="000A2BCE"/>
    <w:rsid w:val="000A55A4"/>
    <w:rsid w:val="000A66A9"/>
    <w:rsid w:val="000A6F5E"/>
    <w:rsid w:val="000B1D58"/>
    <w:rsid w:val="000B1D9F"/>
    <w:rsid w:val="000B1EC4"/>
    <w:rsid w:val="000B208F"/>
    <w:rsid w:val="000B253D"/>
    <w:rsid w:val="000B361B"/>
    <w:rsid w:val="000B3C63"/>
    <w:rsid w:val="000B3D57"/>
    <w:rsid w:val="000B7206"/>
    <w:rsid w:val="000B772D"/>
    <w:rsid w:val="000C2BDB"/>
    <w:rsid w:val="000C42E3"/>
    <w:rsid w:val="000C6F24"/>
    <w:rsid w:val="000C7B17"/>
    <w:rsid w:val="000D4012"/>
    <w:rsid w:val="000D4DBC"/>
    <w:rsid w:val="000D5F41"/>
    <w:rsid w:val="000D7140"/>
    <w:rsid w:val="000D7623"/>
    <w:rsid w:val="000E1263"/>
    <w:rsid w:val="000E1545"/>
    <w:rsid w:val="000E23E6"/>
    <w:rsid w:val="000E3ED5"/>
    <w:rsid w:val="000E42ED"/>
    <w:rsid w:val="000E69B3"/>
    <w:rsid w:val="000E719C"/>
    <w:rsid w:val="000E7FD1"/>
    <w:rsid w:val="000F07CE"/>
    <w:rsid w:val="000F0B4D"/>
    <w:rsid w:val="000F20DA"/>
    <w:rsid w:val="000F2B99"/>
    <w:rsid w:val="000F5DC2"/>
    <w:rsid w:val="000F6640"/>
    <w:rsid w:val="000F6967"/>
    <w:rsid w:val="000F6F83"/>
    <w:rsid w:val="001026FC"/>
    <w:rsid w:val="00103615"/>
    <w:rsid w:val="001040D9"/>
    <w:rsid w:val="00105577"/>
    <w:rsid w:val="001061E3"/>
    <w:rsid w:val="00106587"/>
    <w:rsid w:val="00110940"/>
    <w:rsid w:val="0011497A"/>
    <w:rsid w:val="00114C4A"/>
    <w:rsid w:val="00116F37"/>
    <w:rsid w:val="00121C31"/>
    <w:rsid w:val="00123CEA"/>
    <w:rsid w:val="001240D5"/>
    <w:rsid w:val="0012678F"/>
    <w:rsid w:val="00126FE9"/>
    <w:rsid w:val="00127362"/>
    <w:rsid w:val="00127855"/>
    <w:rsid w:val="001278DF"/>
    <w:rsid w:val="001279BD"/>
    <w:rsid w:val="00130426"/>
    <w:rsid w:val="00134B7A"/>
    <w:rsid w:val="001361EB"/>
    <w:rsid w:val="00137C40"/>
    <w:rsid w:val="001429B2"/>
    <w:rsid w:val="00142BCE"/>
    <w:rsid w:val="00147D29"/>
    <w:rsid w:val="001501FB"/>
    <w:rsid w:val="00151B2A"/>
    <w:rsid w:val="001523B6"/>
    <w:rsid w:val="00152C67"/>
    <w:rsid w:val="00154F85"/>
    <w:rsid w:val="00156260"/>
    <w:rsid w:val="001562A0"/>
    <w:rsid w:val="00156FB5"/>
    <w:rsid w:val="001605AD"/>
    <w:rsid w:val="00160F80"/>
    <w:rsid w:val="00161A88"/>
    <w:rsid w:val="00163FB9"/>
    <w:rsid w:val="00164E91"/>
    <w:rsid w:val="001658FB"/>
    <w:rsid w:val="0016771D"/>
    <w:rsid w:val="00170F88"/>
    <w:rsid w:val="001723FA"/>
    <w:rsid w:val="0017402F"/>
    <w:rsid w:val="00177128"/>
    <w:rsid w:val="001772A6"/>
    <w:rsid w:val="00180732"/>
    <w:rsid w:val="001810A8"/>
    <w:rsid w:val="00183ECE"/>
    <w:rsid w:val="001847D6"/>
    <w:rsid w:val="001927DB"/>
    <w:rsid w:val="00196DDE"/>
    <w:rsid w:val="001A042C"/>
    <w:rsid w:val="001A5FA4"/>
    <w:rsid w:val="001A7376"/>
    <w:rsid w:val="001B15AE"/>
    <w:rsid w:val="001B4717"/>
    <w:rsid w:val="001B4F5E"/>
    <w:rsid w:val="001B6C64"/>
    <w:rsid w:val="001B766E"/>
    <w:rsid w:val="001B7808"/>
    <w:rsid w:val="001C156E"/>
    <w:rsid w:val="001C27F7"/>
    <w:rsid w:val="001C2CA3"/>
    <w:rsid w:val="001C2F6A"/>
    <w:rsid w:val="001C57A2"/>
    <w:rsid w:val="001C624B"/>
    <w:rsid w:val="001C6CBE"/>
    <w:rsid w:val="001C73B5"/>
    <w:rsid w:val="001D0614"/>
    <w:rsid w:val="001D2063"/>
    <w:rsid w:val="001D445C"/>
    <w:rsid w:val="001D4E65"/>
    <w:rsid w:val="001D5AC3"/>
    <w:rsid w:val="001D5D86"/>
    <w:rsid w:val="001D63B1"/>
    <w:rsid w:val="001E06FE"/>
    <w:rsid w:val="001E0F29"/>
    <w:rsid w:val="001E6206"/>
    <w:rsid w:val="001E682D"/>
    <w:rsid w:val="001E6DF1"/>
    <w:rsid w:val="001E778F"/>
    <w:rsid w:val="001F09F3"/>
    <w:rsid w:val="001F0FC9"/>
    <w:rsid w:val="001F24C0"/>
    <w:rsid w:val="001F2936"/>
    <w:rsid w:val="001F2E23"/>
    <w:rsid w:val="001F3C85"/>
    <w:rsid w:val="001F4020"/>
    <w:rsid w:val="001F4D64"/>
    <w:rsid w:val="001F528B"/>
    <w:rsid w:val="001F5AFA"/>
    <w:rsid w:val="001F7190"/>
    <w:rsid w:val="001F7716"/>
    <w:rsid w:val="0020013D"/>
    <w:rsid w:val="00200472"/>
    <w:rsid w:val="00201878"/>
    <w:rsid w:val="00201E08"/>
    <w:rsid w:val="00203D60"/>
    <w:rsid w:val="00204099"/>
    <w:rsid w:val="00204665"/>
    <w:rsid w:val="00204688"/>
    <w:rsid w:val="00206282"/>
    <w:rsid w:val="00206A3C"/>
    <w:rsid w:val="00210B9D"/>
    <w:rsid w:val="00210DCA"/>
    <w:rsid w:val="00210F5A"/>
    <w:rsid w:val="002114C1"/>
    <w:rsid w:val="00211A9F"/>
    <w:rsid w:val="002129AC"/>
    <w:rsid w:val="00212D96"/>
    <w:rsid w:val="00212E35"/>
    <w:rsid w:val="002154B1"/>
    <w:rsid w:val="00216317"/>
    <w:rsid w:val="00217706"/>
    <w:rsid w:val="0021792D"/>
    <w:rsid w:val="00220C70"/>
    <w:rsid w:val="0022232A"/>
    <w:rsid w:val="00223223"/>
    <w:rsid w:val="00223912"/>
    <w:rsid w:val="002243F9"/>
    <w:rsid w:val="00225F94"/>
    <w:rsid w:val="0022656C"/>
    <w:rsid w:val="0023013D"/>
    <w:rsid w:val="00234129"/>
    <w:rsid w:val="00234152"/>
    <w:rsid w:val="00234D4E"/>
    <w:rsid w:val="00236584"/>
    <w:rsid w:val="0023734B"/>
    <w:rsid w:val="002403AE"/>
    <w:rsid w:val="00240BB9"/>
    <w:rsid w:val="00241F2D"/>
    <w:rsid w:val="0024278B"/>
    <w:rsid w:val="00244C36"/>
    <w:rsid w:val="002450D0"/>
    <w:rsid w:val="0024528C"/>
    <w:rsid w:val="00245475"/>
    <w:rsid w:val="00245550"/>
    <w:rsid w:val="00247085"/>
    <w:rsid w:val="002477CD"/>
    <w:rsid w:val="00247BF5"/>
    <w:rsid w:val="00247D87"/>
    <w:rsid w:val="0025038A"/>
    <w:rsid w:val="0025056E"/>
    <w:rsid w:val="00250B9A"/>
    <w:rsid w:val="002536F9"/>
    <w:rsid w:val="00253978"/>
    <w:rsid w:val="00253DF5"/>
    <w:rsid w:val="002564BE"/>
    <w:rsid w:val="00256FBB"/>
    <w:rsid w:val="002624ED"/>
    <w:rsid w:val="002630EC"/>
    <w:rsid w:val="0026346D"/>
    <w:rsid w:val="002651F2"/>
    <w:rsid w:val="00265200"/>
    <w:rsid w:val="00266954"/>
    <w:rsid w:val="0026719A"/>
    <w:rsid w:val="00267A26"/>
    <w:rsid w:val="00267EB1"/>
    <w:rsid w:val="00272EBF"/>
    <w:rsid w:val="00275637"/>
    <w:rsid w:val="002827A3"/>
    <w:rsid w:val="00282EF8"/>
    <w:rsid w:val="00283248"/>
    <w:rsid w:val="00283EB4"/>
    <w:rsid w:val="002845B1"/>
    <w:rsid w:val="00286605"/>
    <w:rsid w:val="0028723D"/>
    <w:rsid w:val="002907FF"/>
    <w:rsid w:val="00290B3B"/>
    <w:rsid w:val="00290F70"/>
    <w:rsid w:val="0029145B"/>
    <w:rsid w:val="00292056"/>
    <w:rsid w:val="002941D3"/>
    <w:rsid w:val="00295263"/>
    <w:rsid w:val="0029556F"/>
    <w:rsid w:val="00295D3A"/>
    <w:rsid w:val="002966A3"/>
    <w:rsid w:val="002A14E3"/>
    <w:rsid w:val="002A259A"/>
    <w:rsid w:val="002A2931"/>
    <w:rsid w:val="002A45A1"/>
    <w:rsid w:val="002A562E"/>
    <w:rsid w:val="002B12B5"/>
    <w:rsid w:val="002B41EF"/>
    <w:rsid w:val="002B45E1"/>
    <w:rsid w:val="002B4694"/>
    <w:rsid w:val="002C0765"/>
    <w:rsid w:val="002C090A"/>
    <w:rsid w:val="002C1B72"/>
    <w:rsid w:val="002C1C40"/>
    <w:rsid w:val="002C2425"/>
    <w:rsid w:val="002C3D81"/>
    <w:rsid w:val="002C4511"/>
    <w:rsid w:val="002C5CD6"/>
    <w:rsid w:val="002C6190"/>
    <w:rsid w:val="002C692F"/>
    <w:rsid w:val="002D5097"/>
    <w:rsid w:val="002D5C23"/>
    <w:rsid w:val="002D5D50"/>
    <w:rsid w:val="002D6800"/>
    <w:rsid w:val="002E22E9"/>
    <w:rsid w:val="002E4294"/>
    <w:rsid w:val="002E612E"/>
    <w:rsid w:val="002E6929"/>
    <w:rsid w:val="002E7077"/>
    <w:rsid w:val="002F0322"/>
    <w:rsid w:val="002F0FD9"/>
    <w:rsid w:val="002F70BF"/>
    <w:rsid w:val="00300382"/>
    <w:rsid w:val="00300603"/>
    <w:rsid w:val="0030139E"/>
    <w:rsid w:val="0030172A"/>
    <w:rsid w:val="00302C59"/>
    <w:rsid w:val="003042F5"/>
    <w:rsid w:val="00304E1C"/>
    <w:rsid w:val="0030614B"/>
    <w:rsid w:val="00306DB7"/>
    <w:rsid w:val="00312121"/>
    <w:rsid w:val="003129FA"/>
    <w:rsid w:val="00312F3A"/>
    <w:rsid w:val="0031438C"/>
    <w:rsid w:val="00316B16"/>
    <w:rsid w:val="00316D94"/>
    <w:rsid w:val="0031739B"/>
    <w:rsid w:val="003208D1"/>
    <w:rsid w:val="003213B6"/>
    <w:rsid w:val="0032335A"/>
    <w:rsid w:val="00323A08"/>
    <w:rsid w:val="00323D0E"/>
    <w:rsid w:val="00324AE0"/>
    <w:rsid w:val="00327D73"/>
    <w:rsid w:val="0033290A"/>
    <w:rsid w:val="003418A2"/>
    <w:rsid w:val="00341FB9"/>
    <w:rsid w:val="0034215C"/>
    <w:rsid w:val="0034322C"/>
    <w:rsid w:val="003442EE"/>
    <w:rsid w:val="00345113"/>
    <w:rsid w:val="00345673"/>
    <w:rsid w:val="003460CC"/>
    <w:rsid w:val="003460D5"/>
    <w:rsid w:val="003479E3"/>
    <w:rsid w:val="00347D0B"/>
    <w:rsid w:val="00351BF5"/>
    <w:rsid w:val="00352D04"/>
    <w:rsid w:val="00352D83"/>
    <w:rsid w:val="00352E3C"/>
    <w:rsid w:val="00353F42"/>
    <w:rsid w:val="003540E8"/>
    <w:rsid w:val="00354B3D"/>
    <w:rsid w:val="00356533"/>
    <w:rsid w:val="00356C4A"/>
    <w:rsid w:val="003616D5"/>
    <w:rsid w:val="0036309F"/>
    <w:rsid w:val="003637E1"/>
    <w:rsid w:val="0036558F"/>
    <w:rsid w:val="00366E4B"/>
    <w:rsid w:val="00371D62"/>
    <w:rsid w:val="00374273"/>
    <w:rsid w:val="00375E56"/>
    <w:rsid w:val="003763BD"/>
    <w:rsid w:val="00376899"/>
    <w:rsid w:val="00376C62"/>
    <w:rsid w:val="00376F9D"/>
    <w:rsid w:val="0037778C"/>
    <w:rsid w:val="00380FEC"/>
    <w:rsid w:val="00382BD1"/>
    <w:rsid w:val="003865CE"/>
    <w:rsid w:val="00386A23"/>
    <w:rsid w:val="00392D30"/>
    <w:rsid w:val="00393014"/>
    <w:rsid w:val="00396ABF"/>
    <w:rsid w:val="003A379C"/>
    <w:rsid w:val="003A4C41"/>
    <w:rsid w:val="003A528D"/>
    <w:rsid w:val="003B2260"/>
    <w:rsid w:val="003B27B2"/>
    <w:rsid w:val="003B3129"/>
    <w:rsid w:val="003B427E"/>
    <w:rsid w:val="003B4877"/>
    <w:rsid w:val="003B554D"/>
    <w:rsid w:val="003B5606"/>
    <w:rsid w:val="003C038E"/>
    <w:rsid w:val="003C2160"/>
    <w:rsid w:val="003C26DB"/>
    <w:rsid w:val="003C33AE"/>
    <w:rsid w:val="003C770E"/>
    <w:rsid w:val="003D0666"/>
    <w:rsid w:val="003D0BB2"/>
    <w:rsid w:val="003D38E7"/>
    <w:rsid w:val="003D7BD6"/>
    <w:rsid w:val="003E075B"/>
    <w:rsid w:val="003E1639"/>
    <w:rsid w:val="003E44BD"/>
    <w:rsid w:val="003E5250"/>
    <w:rsid w:val="003E53A8"/>
    <w:rsid w:val="003E6C8E"/>
    <w:rsid w:val="003E7200"/>
    <w:rsid w:val="003F0086"/>
    <w:rsid w:val="003F0D8C"/>
    <w:rsid w:val="003F22B3"/>
    <w:rsid w:val="003F3705"/>
    <w:rsid w:val="003F37A8"/>
    <w:rsid w:val="003F4106"/>
    <w:rsid w:val="004010E6"/>
    <w:rsid w:val="004019C5"/>
    <w:rsid w:val="00401E80"/>
    <w:rsid w:val="00403CFA"/>
    <w:rsid w:val="00405304"/>
    <w:rsid w:val="004073B2"/>
    <w:rsid w:val="00407CC0"/>
    <w:rsid w:val="00410014"/>
    <w:rsid w:val="00410C3B"/>
    <w:rsid w:val="00414443"/>
    <w:rsid w:val="004149F5"/>
    <w:rsid w:val="00414F82"/>
    <w:rsid w:val="00415019"/>
    <w:rsid w:val="004177BC"/>
    <w:rsid w:val="00421BEA"/>
    <w:rsid w:val="004225B9"/>
    <w:rsid w:val="00423749"/>
    <w:rsid w:val="0042387F"/>
    <w:rsid w:val="00423CB0"/>
    <w:rsid w:val="00427343"/>
    <w:rsid w:val="00427959"/>
    <w:rsid w:val="004314C1"/>
    <w:rsid w:val="00433D6F"/>
    <w:rsid w:val="004376C7"/>
    <w:rsid w:val="00437B78"/>
    <w:rsid w:val="004403B9"/>
    <w:rsid w:val="004416AB"/>
    <w:rsid w:val="00441A95"/>
    <w:rsid w:val="0044249A"/>
    <w:rsid w:val="00442E19"/>
    <w:rsid w:val="00444D06"/>
    <w:rsid w:val="004511D9"/>
    <w:rsid w:val="0045141C"/>
    <w:rsid w:val="004533C9"/>
    <w:rsid w:val="00453BD4"/>
    <w:rsid w:val="00453F64"/>
    <w:rsid w:val="004542F6"/>
    <w:rsid w:val="0045493A"/>
    <w:rsid w:val="00455EEB"/>
    <w:rsid w:val="004560B9"/>
    <w:rsid w:val="00457BD7"/>
    <w:rsid w:val="0046096A"/>
    <w:rsid w:val="00460C14"/>
    <w:rsid w:val="004611AD"/>
    <w:rsid w:val="00461406"/>
    <w:rsid w:val="004659E5"/>
    <w:rsid w:val="00467CEE"/>
    <w:rsid w:val="004709D1"/>
    <w:rsid w:val="00472184"/>
    <w:rsid w:val="00474F75"/>
    <w:rsid w:val="0047521F"/>
    <w:rsid w:val="00477E4C"/>
    <w:rsid w:val="004812F6"/>
    <w:rsid w:val="00483D81"/>
    <w:rsid w:val="004842A1"/>
    <w:rsid w:val="0048482E"/>
    <w:rsid w:val="0049050C"/>
    <w:rsid w:val="004908A4"/>
    <w:rsid w:val="00493B11"/>
    <w:rsid w:val="004943C4"/>
    <w:rsid w:val="004952C4"/>
    <w:rsid w:val="00495AD6"/>
    <w:rsid w:val="0049747F"/>
    <w:rsid w:val="004A05EC"/>
    <w:rsid w:val="004A0A43"/>
    <w:rsid w:val="004A100E"/>
    <w:rsid w:val="004A1181"/>
    <w:rsid w:val="004A1A6B"/>
    <w:rsid w:val="004A290F"/>
    <w:rsid w:val="004A2B10"/>
    <w:rsid w:val="004A39B0"/>
    <w:rsid w:val="004A3EE4"/>
    <w:rsid w:val="004A4A95"/>
    <w:rsid w:val="004A72B9"/>
    <w:rsid w:val="004B0985"/>
    <w:rsid w:val="004B2F97"/>
    <w:rsid w:val="004B3AAE"/>
    <w:rsid w:val="004B4764"/>
    <w:rsid w:val="004B5B81"/>
    <w:rsid w:val="004B79F9"/>
    <w:rsid w:val="004C15D9"/>
    <w:rsid w:val="004C1E4D"/>
    <w:rsid w:val="004C36B0"/>
    <w:rsid w:val="004C6584"/>
    <w:rsid w:val="004C7FD3"/>
    <w:rsid w:val="004D03D3"/>
    <w:rsid w:val="004D1125"/>
    <w:rsid w:val="004D1446"/>
    <w:rsid w:val="004D27E8"/>
    <w:rsid w:val="004D3AAD"/>
    <w:rsid w:val="004D440E"/>
    <w:rsid w:val="004D7975"/>
    <w:rsid w:val="004D7C1A"/>
    <w:rsid w:val="004D7FC6"/>
    <w:rsid w:val="004E0EA3"/>
    <w:rsid w:val="004E5802"/>
    <w:rsid w:val="004E6B2D"/>
    <w:rsid w:val="004F107C"/>
    <w:rsid w:val="004F2894"/>
    <w:rsid w:val="004F387A"/>
    <w:rsid w:val="004F563E"/>
    <w:rsid w:val="00500271"/>
    <w:rsid w:val="00503004"/>
    <w:rsid w:val="005031F8"/>
    <w:rsid w:val="00503599"/>
    <w:rsid w:val="0050422A"/>
    <w:rsid w:val="005065C2"/>
    <w:rsid w:val="005071B7"/>
    <w:rsid w:val="005073DE"/>
    <w:rsid w:val="00507964"/>
    <w:rsid w:val="00510ED5"/>
    <w:rsid w:val="00511801"/>
    <w:rsid w:val="0051272C"/>
    <w:rsid w:val="005138D1"/>
    <w:rsid w:val="005145B7"/>
    <w:rsid w:val="00515952"/>
    <w:rsid w:val="00520A43"/>
    <w:rsid w:val="00524AF7"/>
    <w:rsid w:val="0052515C"/>
    <w:rsid w:val="00527285"/>
    <w:rsid w:val="005306A9"/>
    <w:rsid w:val="005308F9"/>
    <w:rsid w:val="005351E9"/>
    <w:rsid w:val="005379CF"/>
    <w:rsid w:val="00540A3A"/>
    <w:rsid w:val="005431E3"/>
    <w:rsid w:val="00543C41"/>
    <w:rsid w:val="00543CA0"/>
    <w:rsid w:val="005441A6"/>
    <w:rsid w:val="00544BD7"/>
    <w:rsid w:val="00545907"/>
    <w:rsid w:val="00551573"/>
    <w:rsid w:val="00553F09"/>
    <w:rsid w:val="00556929"/>
    <w:rsid w:val="00556F0A"/>
    <w:rsid w:val="0056060F"/>
    <w:rsid w:val="0056120E"/>
    <w:rsid w:val="005632EA"/>
    <w:rsid w:val="00563B35"/>
    <w:rsid w:val="005657E6"/>
    <w:rsid w:val="00566B72"/>
    <w:rsid w:val="00572A90"/>
    <w:rsid w:val="00573034"/>
    <w:rsid w:val="00573B70"/>
    <w:rsid w:val="00574C93"/>
    <w:rsid w:val="005752BF"/>
    <w:rsid w:val="00575EFA"/>
    <w:rsid w:val="00580552"/>
    <w:rsid w:val="00583C4C"/>
    <w:rsid w:val="00586829"/>
    <w:rsid w:val="0059068D"/>
    <w:rsid w:val="00592267"/>
    <w:rsid w:val="005935EA"/>
    <w:rsid w:val="00593ED5"/>
    <w:rsid w:val="00593F34"/>
    <w:rsid w:val="005A0C1F"/>
    <w:rsid w:val="005A42E3"/>
    <w:rsid w:val="005A7798"/>
    <w:rsid w:val="005B482B"/>
    <w:rsid w:val="005B57A4"/>
    <w:rsid w:val="005B5920"/>
    <w:rsid w:val="005B5A84"/>
    <w:rsid w:val="005B6B2F"/>
    <w:rsid w:val="005B6F29"/>
    <w:rsid w:val="005C0B88"/>
    <w:rsid w:val="005C1478"/>
    <w:rsid w:val="005C2B4D"/>
    <w:rsid w:val="005C3331"/>
    <w:rsid w:val="005C6BBB"/>
    <w:rsid w:val="005D2ABA"/>
    <w:rsid w:val="005D402C"/>
    <w:rsid w:val="005D4BCA"/>
    <w:rsid w:val="005D549B"/>
    <w:rsid w:val="005E2DCC"/>
    <w:rsid w:val="005E3BE7"/>
    <w:rsid w:val="005E6476"/>
    <w:rsid w:val="005E70F5"/>
    <w:rsid w:val="005F325F"/>
    <w:rsid w:val="005F5E11"/>
    <w:rsid w:val="005F778E"/>
    <w:rsid w:val="0060214B"/>
    <w:rsid w:val="00604738"/>
    <w:rsid w:val="006047ED"/>
    <w:rsid w:val="006062E7"/>
    <w:rsid w:val="00606601"/>
    <w:rsid w:val="00606E1B"/>
    <w:rsid w:val="00607287"/>
    <w:rsid w:val="006075B3"/>
    <w:rsid w:val="00607E31"/>
    <w:rsid w:val="0061088D"/>
    <w:rsid w:val="00615EF0"/>
    <w:rsid w:val="00616DB6"/>
    <w:rsid w:val="00620F86"/>
    <w:rsid w:val="006213C0"/>
    <w:rsid w:val="0062585B"/>
    <w:rsid w:val="00625D4D"/>
    <w:rsid w:val="006310A3"/>
    <w:rsid w:val="00632241"/>
    <w:rsid w:val="00632634"/>
    <w:rsid w:val="006350A2"/>
    <w:rsid w:val="00635221"/>
    <w:rsid w:val="00637395"/>
    <w:rsid w:val="00640A9B"/>
    <w:rsid w:val="00641417"/>
    <w:rsid w:val="00644ED9"/>
    <w:rsid w:val="006515AA"/>
    <w:rsid w:val="006518EC"/>
    <w:rsid w:val="00653BED"/>
    <w:rsid w:val="00654321"/>
    <w:rsid w:val="00654326"/>
    <w:rsid w:val="00656498"/>
    <w:rsid w:val="006577BE"/>
    <w:rsid w:val="00657FBF"/>
    <w:rsid w:val="00661012"/>
    <w:rsid w:val="006624CC"/>
    <w:rsid w:val="00662B83"/>
    <w:rsid w:val="00662ED0"/>
    <w:rsid w:val="0066368A"/>
    <w:rsid w:val="00664528"/>
    <w:rsid w:val="00664575"/>
    <w:rsid w:val="00667148"/>
    <w:rsid w:val="00672579"/>
    <w:rsid w:val="00672870"/>
    <w:rsid w:val="006809E4"/>
    <w:rsid w:val="00682336"/>
    <w:rsid w:val="00682A77"/>
    <w:rsid w:val="0068314D"/>
    <w:rsid w:val="0068317C"/>
    <w:rsid w:val="006872B1"/>
    <w:rsid w:val="0069266E"/>
    <w:rsid w:val="00695EE9"/>
    <w:rsid w:val="00697EF2"/>
    <w:rsid w:val="006A072B"/>
    <w:rsid w:val="006A13AB"/>
    <w:rsid w:val="006A1F93"/>
    <w:rsid w:val="006A2D8B"/>
    <w:rsid w:val="006A3927"/>
    <w:rsid w:val="006A39FF"/>
    <w:rsid w:val="006B06B8"/>
    <w:rsid w:val="006B0DA9"/>
    <w:rsid w:val="006B1225"/>
    <w:rsid w:val="006B1B76"/>
    <w:rsid w:val="006B262A"/>
    <w:rsid w:val="006B32FE"/>
    <w:rsid w:val="006B4A8D"/>
    <w:rsid w:val="006B64A2"/>
    <w:rsid w:val="006B78B4"/>
    <w:rsid w:val="006C069B"/>
    <w:rsid w:val="006C08B9"/>
    <w:rsid w:val="006C0B52"/>
    <w:rsid w:val="006C53B8"/>
    <w:rsid w:val="006C5E01"/>
    <w:rsid w:val="006C73DA"/>
    <w:rsid w:val="006C79BC"/>
    <w:rsid w:val="006D0004"/>
    <w:rsid w:val="006D00A6"/>
    <w:rsid w:val="006D159B"/>
    <w:rsid w:val="006D1927"/>
    <w:rsid w:val="006D4AB1"/>
    <w:rsid w:val="006D66E3"/>
    <w:rsid w:val="006E098B"/>
    <w:rsid w:val="006E169B"/>
    <w:rsid w:val="006E3AA7"/>
    <w:rsid w:val="006E3DC5"/>
    <w:rsid w:val="006E4497"/>
    <w:rsid w:val="006E52A9"/>
    <w:rsid w:val="006E6AEA"/>
    <w:rsid w:val="006F16D6"/>
    <w:rsid w:val="006F5F91"/>
    <w:rsid w:val="006F660E"/>
    <w:rsid w:val="006F6F7F"/>
    <w:rsid w:val="006F775F"/>
    <w:rsid w:val="00702176"/>
    <w:rsid w:val="00702743"/>
    <w:rsid w:val="00702C98"/>
    <w:rsid w:val="007037D1"/>
    <w:rsid w:val="00703871"/>
    <w:rsid w:val="007046C9"/>
    <w:rsid w:val="0070658B"/>
    <w:rsid w:val="0070753F"/>
    <w:rsid w:val="007111A0"/>
    <w:rsid w:val="007128C6"/>
    <w:rsid w:val="00714580"/>
    <w:rsid w:val="00714CC2"/>
    <w:rsid w:val="00727EEC"/>
    <w:rsid w:val="00733427"/>
    <w:rsid w:val="00733BF0"/>
    <w:rsid w:val="00735097"/>
    <w:rsid w:val="007355A2"/>
    <w:rsid w:val="00736735"/>
    <w:rsid w:val="0073798D"/>
    <w:rsid w:val="00737DCA"/>
    <w:rsid w:val="0074026D"/>
    <w:rsid w:val="0074055A"/>
    <w:rsid w:val="00740664"/>
    <w:rsid w:val="00740955"/>
    <w:rsid w:val="0074278B"/>
    <w:rsid w:val="00742BCE"/>
    <w:rsid w:val="00742F02"/>
    <w:rsid w:val="00743800"/>
    <w:rsid w:val="007503F0"/>
    <w:rsid w:val="007519D7"/>
    <w:rsid w:val="0075371A"/>
    <w:rsid w:val="00753788"/>
    <w:rsid w:val="00755E50"/>
    <w:rsid w:val="007564EF"/>
    <w:rsid w:val="00756746"/>
    <w:rsid w:val="007567A8"/>
    <w:rsid w:val="00761C88"/>
    <w:rsid w:val="00762DC2"/>
    <w:rsid w:val="007673CD"/>
    <w:rsid w:val="007674F4"/>
    <w:rsid w:val="0077099C"/>
    <w:rsid w:val="0077375F"/>
    <w:rsid w:val="00773879"/>
    <w:rsid w:val="00774570"/>
    <w:rsid w:val="00774CCA"/>
    <w:rsid w:val="00774DAE"/>
    <w:rsid w:val="0077576B"/>
    <w:rsid w:val="00777016"/>
    <w:rsid w:val="00780798"/>
    <w:rsid w:val="00780E66"/>
    <w:rsid w:val="007826BF"/>
    <w:rsid w:val="00782E19"/>
    <w:rsid w:val="007840B0"/>
    <w:rsid w:val="0078525F"/>
    <w:rsid w:val="00786334"/>
    <w:rsid w:val="00786DAF"/>
    <w:rsid w:val="007903D6"/>
    <w:rsid w:val="00790828"/>
    <w:rsid w:val="00790FAF"/>
    <w:rsid w:val="007910D9"/>
    <w:rsid w:val="00796D05"/>
    <w:rsid w:val="00796E8E"/>
    <w:rsid w:val="00796F41"/>
    <w:rsid w:val="007A0A27"/>
    <w:rsid w:val="007A1507"/>
    <w:rsid w:val="007A175B"/>
    <w:rsid w:val="007A7BBD"/>
    <w:rsid w:val="007A7D3D"/>
    <w:rsid w:val="007B0C8A"/>
    <w:rsid w:val="007B1AB5"/>
    <w:rsid w:val="007B2E72"/>
    <w:rsid w:val="007B2F4A"/>
    <w:rsid w:val="007B470F"/>
    <w:rsid w:val="007B4AD4"/>
    <w:rsid w:val="007B6E03"/>
    <w:rsid w:val="007C09BD"/>
    <w:rsid w:val="007C1D94"/>
    <w:rsid w:val="007C38E4"/>
    <w:rsid w:val="007C65D1"/>
    <w:rsid w:val="007C6944"/>
    <w:rsid w:val="007D0812"/>
    <w:rsid w:val="007D16C0"/>
    <w:rsid w:val="007E1BF3"/>
    <w:rsid w:val="007E3F89"/>
    <w:rsid w:val="007E512C"/>
    <w:rsid w:val="007E553F"/>
    <w:rsid w:val="007F0BB5"/>
    <w:rsid w:val="007F1B02"/>
    <w:rsid w:val="007F41CF"/>
    <w:rsid w:val="007F4B63"/>
    <w:rsid w:val="007F5185"/>
    <w:rsid w:val="007F522E"/>
    <w:rsid w:val="007F678D"/>
    <w:rsid w:val="00803B6F"/>
    <w:rsid w:val="00804ED8"/>
    <w:rsid w:val="00804FFE"/>
    <w:rsid w:val="008058C2"/>
    <w:rsid w:val="00806B39"/>
    <w:rsid w:val="00810A72"/>
    <w:rsid w:val="008138EB"/>
    <w:rsid w:val="00814CFD"/>
    <w:rsid w:val="008154FB"/>
    <w:rsid w:val="00815A36"/>
    <w:rsid w:val="00816D34"/>
    <w:rsid w:val="008176C1"/>
    <w:rsid w:val="00817DE9"/>
    <w:rsid w:val="00821292"/>
    <w:rsid w:val="00821CB6"/>
    <w:rsid w:val="00823223"/>
    <w:rsid w:val="00823A2E"/>
    <w:rsid w:val="00827AD6"/>
    <w:rsid w:val="00832270"/>
    <w:rsid w:val="00832434"/>
    <w:rsid w:val="00833166"/>
    <w:rsid w:val="00833D13"/>
    <w:rsid w:val="0083478E"/>
    <w:rsid w:val="008353CD"/>
    <w:rsid w:val="0083564C"/>
    <w:rsid w:val="008406B4"/>
    <w:rsid w:val="00842E7C"/>
    <w:rsid w:val="00845708"/>
    <w:rsid w:val="00845B05"/>
    <w:rsid w:val="00847A75"/>
    <w:rsid w:val="00850E38"/>
    <w:rsid w:val="008525E8"/>
    <w:rsid w:val="008536B5"/>
    <w:rsid w:val="00853FC5"/>
    <w:rsid w:val="00857E16"/>
    <w:rsid w:val="00860C1A"/>
    <w:rsid w:val="0086139F"/>
    <w:rsid w:val="0086438F"/>
    <w:rsid w:val="0086452B"/>
    <w:rsid w:val="00865D65"/>
    <w:rsid w:val="00867359"/>
    <w:rsid w:val="00874DE6"/>
    <w:rsid w:val="0087557A"/>
    <w:rsid w:val="00875669"/>
    <w:rsid w:val="008758AE"/>
    <w:rsid w:val="00875C63"/>
    <w:rsid w:val="00875D0F"/>
    <w:rsid w:val="008766E0"/>
    <w:rsid w:val="00876D4A"/>
    <w:rsid w:val="008778B3"/>
    <w:rsid w:val="00877CA8"/>
    <w:rsid w:val="00880044"/>
    <w:rsid w:val="00880D7B"/>
    <w:rsid w:val="00880F24"/>
    <w:rsid w:val="008836EC"/>
    <w:rsid w:val="00885552"/>
    <w:rsid w:val="00886034"/>
    <w:rsid w:val="00886AA2"/>
    <w:rsid w:val="008870D6"/>
    <w:rsid w:val="00887C3D"/>
    <w:rsid w:val="00890B54"/>
    <w:rsid w:val="0089237A"/>
    <w:rsid w:val="00892809"/>
    <w:rsid w:val="008941BC"/>
    <w:rsid w:val="00895357"/>
    <w:rsid w:val="0089551B"/>
    <w:rsid w:val="008A3590"/>
    <w:rsid w:val="008A4452"/>
    <w:rsid w:val="008A4D13"/>
    <w:rsid w:val="008B111C"/>
    <w:rsid w:val="008B30FA"/>
    <w:rsid w:val="008B3DE2"/>
    <w:rsid w:val="008B46E0"/>
    <w:rsid w:val="008B7963"/>
    <w:rsid w:val="008C2400"/>
    <w:rsid w:val="008C29EA"/>
    <w:rsid w:val="008C4C64"/>
    <w:rsid w:val="008C75D8"/>
    <w:rsid w:val="008D26E7"/>
    <w:rsid w:val="008D37C9"/>
    <w:rsid w:val="008D4CB9"/>
    <w:rsid w:val="008D65E9"/>
    <w:rsid w:val="008D6E6D"/>
    <w:rsid w:val="008D7584"/>
    <w:rsid w:val="008D78C7"/>
    <w:rsid w:val="008D79E3"/>
    <w:rsid w:val="008D7A37"/>
    <w:rsid w:val="008E146E"/>
    <w:rsid w:val="008E4700"/>
    <w:rsid w:val="008E49DF"/>
    <w:rsid w:val="008E4D02"/>
    <w:rsid w:val="008E5D71"/>
    <w:rsid w:val="008F0883"/>
    <w:rsid w:val="008F14B9"/>
    <w:rsid w:val="008F4B2B"/>
    <w:rsid w:val="008F55B9"/>
    <w:rsid w:val="008F5BE2"/>
    <w:rsid w:val="00900220"/>
    <w:rsid w:val="009070F8"/>
    <w:rsid w:val="009077FA"/>
    <w:rsid w:val="009106CD"/>
    <w:rsid w:val="009108B2"/>
    <w:rsid w:val="0091138C"/>
    <w:rsid w:val="00913B48"/>
    <w:rsid w:val="009143B6"/>
    <w:rsid w:val="0091442C"/>
    <w:rsid w:val="00914F7C"/>
    <w:rsid w:val="0091510A"/>
    <w:rsid w:val="00917CE6"/>
    <w:rsid w:val="00920854"/>
    <w:rsid w:val="0092219B"/>
    <w:rsid w:val="0092319C"/>
    <w:rsid w:val="009249F7"/>
    <w:rsid w:val="00924FC5"/>
    <w:rsid w:val="00925B80"/>
    <w:rsid w:val="0092638C"/>
    <w:rsid w:val="00926A69"/>
    <w:rsid w:val="009301B7"/>
    <w:rsid w:val="00930E1C"/>
    <w:rsid w:val="00931DDB"/>
    <w:rsid w:val="0093308E"/>
    <w:rsid w:val="009343FE"/>
    <w:rsid w:val="00940091"/>
    <w:rsid w:val="00941B1D"/>
    <w:rsid w:val="00942231"/>
    <w:rsid w:val="00942896"/>
    <w:rsid w:val="00943D32"/>
    <w:rsid w:val="00945570"/>
    <w:rsid w:val="009511FD"/>
    <w:rsid w:val="009526DF"/>
    <w:rsid w:val="0095470F"/>
    <w:rsid w:val="009549DD"/>
    <w:rsid w:val="00955565"/>
    <w:rsid w:val="00957F99"/>
    <w:rsid w:val="00960121"/>
    <w:rsid w:val="00960156"/>
    <w:rsid w:val="009614C9"/>
    <w:rsid w:val="009623D0"/>
    <w:rsid w:val="00962672"/>
    <w:rsid w:val="00962C2A"/>
    <w:rsid w:val="009642BC"/>
    <w:rsid w:val="0096640A"/>
    <w:rsid w:val="00972461"/>
    <w:rsid w:val="009756AE"/>
    <w:rsid w:val="009802D4"/>
    <w:rsid w:val="00980470"/>
    <w:rsid w:val="00980AC0"/>
    <w:rsid w:val="00982383"/>
    <w:rsid w:val="0098243D"/>
    <w:rsid w:val="00982F7D"/>
    <w:rsid w:val="00983631"/>
    <w:rsid w:val="00984336"/>
    <w:rsid w:val="00984C2A"/>
    <w:rsid w:val="00991FA0"/>
    <w:rsid w:val="009932C9"/>
    <w:rsid w:val="00994212"/>
    <w:rsid w:val="00996DAF"/>
    <w:rsid w:val="009A3101"/>
    <w:rsid w:val="009A3588"/>
    <w:rsid w:val="009A6177"/>
    <w:rsid w:val="009A7D57"/>
    <w:rsid w:val="009B0236"/>
    <w:rsid w:val="009B0490"/>
    <w:rsid w:val="009B08EB"/>
    <w:rsid w:val="009B0CC1"/>
    <w:rsid w:val="009B17D0"/>
    <w:rsid w:val="009B1DCA"/>
    <w:rsid w:val="009B2876"/>
    <w:rsid w:val="009B5913"/>
    <w:rsid w:val="009B5B40"/>
    <w:rsid w:val="009C18DE"/>
    <w:rsid w:val="009C6550"/>
    <w:rsid w:val="009C7078"/>
    <w:rsid w:val="009D1AFE"/>
    <w:rsid w:val="009D3152"/>
    <w:rsid w:val="009D3477"/>
    <w:rsid w:val="009D4BCB"/>
    <w:rsid w:val="009D4DCC"/>
    <w:rsid w:val="009D61F3"/>
    <w:rsid w:val="009D6971"/>
    <w:rsid w:val="009D7C16"/>
    <w:rsid w:val="009E0B62"/>
    <w:rsid w:val="009E408C"/>
    <w:rsid w:val="009E417A"/>
    <w:rsid w:val="009E5CE4"/>
    <w:rsid w:val="009E655B"/>
    <w:rsid w:val="009F1839"/>
    <w:rsid w:val="009F1C8A"/>
    <w:rsid w:val="009F1D0B"/>
    <w:rsid w:val="009F4242"/>
    <w:rsid w:val="009F65A1"/>
    <w:rsid w:val="009F6D10"/>
    <w:rsid w:val="00A00BB2"/>
    <w:rsid w:val="00A05A4C"/>
    <w:rsid w:val="00A0643C"/>
    <w:rsid w:val="00A06E19"/>
    <w:rsid w:val="00A12437"/>
    <w:rsid w:val="00A136BA"/>
    <w:rsid w:val="00A14DAD"/>
    <w:rsid w:val="00A167CE"/>
    <w:rsid w:val="00A2115D"/>
    <w:rsid w:val="00A215E2"/>
    <w:rsid w:val="00A221EC"/>
    <w:rsid w:val="00A2233D"/>
    <w:rsid w:val="00A22837"/>
    <w:rsid w:val="00A234D6"/>
    <w:rsid w:val="00A23930"/>
    <w:rsid w:val="00A26336"/>
    <w:rsid w:val="00A277A6"/>
    <w:rsid w:val="00A31E31"/>
    <w:rsid w:val="00A32A5B"/>
    <w:rsid w:val="00A3743E"/>
    <w:rsid w:val="00A37661"/>
    <w:rsid w:val="00A37DE2"/>
    <w:rsid w:val="00A45176"/>
    <w:rsid w:val="00A46AAF"/>
    <w:rsid w:val="00A4758A"/>
    <w:rsid w:val="00A50264"/>
    <w:rsid w:val="00A510B4"/>
    <w:rsid w:val="00A51975"/>
    <w:rsid w:val="00A537AB"/>
    <w:rsid w:val="00A54F01"/>
    <w:rsid w:val="00A558F7"/>
    <w:rsid w:val="00A561DD"/>
    <w:rsid w:val="00A562FB"/>
    <w:rsid w:val="00A57956"/>
    <w:rsid w:val="00A601D3"/>
    <w:rsid w:val="00A6325C"/>
    <w:rsid w:val="00A6388C"/>
    <w:rsid w:val="00A67924"/>
    <w:rsid w:val="00A70BB8"/>
    <w:rsid w:val="00A7429D"/>
    <w:rsid w:val="00A75433"/>
    <w:rsid w:val="00A75F6E"/>
    <w:rsid w:val="00A76D6A"/>
    <w:rsid w:val="00A803D4"/>
    <w:rsid w:val="00A80B85"/>
    <w:rsid w:val="00A82138"/>
    <w:rsid w:val="00A84AD0"/>
    <w:rsid w:val="00A84B44"/>
    <w:rsid w:val="00A84F6E"/>
    <w:rsid w:val="00A85A70"/>
    <w:rsid w:val="00A85D9A"/>
    <w:rsid w:val="00A869CE"/>
    <w:rsid w:val="00A878CF"/>
    <w:rsid w:val="00A87C18"/>
    <w:rsid w:val="00A91220"/>
    <w:rsid w:val="00A92449"/>
    <w:rsid w:val="00A945B6"/>
    <w:rsid w:val="00A9462C"/>
    <w:rsid w:val="00A95B52"/>
    <w:rsid w:val="00A9608F"/>
    <w:rsid w:val="00AA295D"/>
    <w:rsid w:val="00AA6687"/>
    <w:rsid w:val="00AA7DDD"/>
    <w:rsid w:val="00AB0365"/>
    <w:rsid w:val="00AB2286"/>
    <w:rsid w:val="00AB300C"/>
    <w:rsid w:val="00AB3561"/>
    <w:rsid w:val="00AB38F9"/>
    <w:rsid w:val="00AB3C12"/>
    <w:rsid w:val="00AB7C78"/>
    <w:rsid w:val="00AC04C6"/>
    <w:rsid w:val="00AC0737"/>
    <w:rsid w:val="00AC115E"/>
    <w:rsid w:val="00AC2C4F"/>
    <w:rsid w:val="00AC39CD"/>
    <w:rsid w:val="00AC3B22"/>
    <w:rsid w:val="00AD2959"/>
    <w:rsid w:val="00AD2DB4"/>
    <w:rsid w:val="00AD2DD4"/>
    <w:rsid w:val="00AD31EB"/>
    <w:rsid w:val="00AD3EB2"/>
    <w:rsid w:val="00AD7944"/>
    <w:rsid w:val="00AD7C06"/>
    <w:rsid w:val="00AE1A17"/>
    <w:rsid w:val="00AE237B"/>
    <w:rsid w:val="00AE3EE9"/>
    <w:rsid w:val="00AE6D2F"/>
    <w:rsid w:val="00AE7B1F"/>
    <w:rsid w:val="00AF1BA1"/>
    <w:rsid w:val="00AF28FB"/>
    <w:rsid w:val="00AF2C0C"/>
    <w:rsid w:val="00B01ACF"/>
    <w:rsid w:val="00B04C48"/>
    <w:rsid w:val="00B0657E"/>
    <w:rsid w:val="00B10695"/>
    <w:rsid w:val="00B10897"/>
    <w:rsid w:val="00B13EAC"/>
    <w:rsid w:val="00B14784"/>
    <w:rsid w:val="00B14CD9"/>
    <w:rsid w:val="00B14F6E"/>
    <w:rsid w:val="00B16551"/>
    <w:rsid w:val="00B22EB8"/>
    <w:rsid w:val="00B23386"/>
    <w:rsid w:val="00B262F8"/>
    <w:rsid w:val="00B30ED4"/>
    <w:rsid w:val="00B4376A"/>
    <w:rsid w:val="00B4377D"/>
    <w:rsid w:val="00B44A06"/>
    <w:rsid w:val="00B46574"/>
    <w:rsid w:val="00B53E96"/>
    <w:rsid w:val="00B57664"/>
    <w:rsid w:val="00B576BB"/>
    <w:rsid w:val="00B60C24"/>
    <w:rsid w:val="00B61F25"/>
    <w:rsid w:val="00B62981"/>
    <w:rsid w:val="00B64140"/>
    <w:rsid w:val="00B74E15"/>
    <w:rsid w:val="00B75BBB"/>
    <w:rsid w:val="00B77C03"/>
    <w:rsid w:val="00B81D97"/>
    <w:rsid w:val="00B8286B"/>
    <w:rsid w:val="00B83742"/>
    <w:rsid w:val="00B852B2"/>
    <w:rsid w:val="00B85EB5"/>
    <w:rsid w:val="00B85FB9"/>
    <w:rsid w:val="00B917B3"/>
    <w:rsid w:val="00B94314"/>
    <w:rsid w:val="00B944BC"/>
    <w:rsid w:val="00BA0D76"/>
    <w:rsid w:val="00BA0F7C"/>
    <w:rsid w:val="00BA169B"/>
    <w:rsid w:val="00BA1AD8"/>
    <w:rsid w:val="00BA5A3E"/>
    <w:rsid w:val="00BA7325"/>
    <w:rsid w:val="00BB01C2"/>
    <w:rsid w:val="00BB1B3D"/>
    <w:rsid w:val="00BB26CB"/>
    <w:rsid w:val="00BB26D1"/>
    <w:rsid w:val="00BB3293"/>
    <w:rsid w:val="00BB3D7E"/>
    <w:rsid w:val="00BB78A9"/>
    <w:rsid w:val="00BB7E9E"/>
    <w:rsid w:val="00BC15C0"/>
    <w:rsid w:val="00BC1BCC"/>
    <w:rsid w:val="00BC206F"/>
    <w:rsid w:val="00BC2DAB"/>
    <w:rsid w:val="00BC4648"/>
    <w:rsid w:val="00BC6E7C"/>
    <w:rsid w:val="00BC6EE8"/>
    <w:rsid w:val="00BD1749"/>
    <w:rsid w:val="00BD3963"/>
    <w:rsid w:val="00BD45C9"/>
    <w:rsid w:val="00BD6C0A"/>
    <w:rsid w:val="00BE054F"/>
    <w:rsid w:val="00BE1475"/>
    <w:rsid w:val="00BE1939"/>
    <w:rsid w:val="00BE4990"/>
    <w:rsid w:val="00BE73D5"/>
    <w:rsid w:val="00BE7D9B"/>
    <w:rsid w:val="00BF06D5"/>
    <w:rsid w:val="00BF195D"/>
    <w:rsid w:val="00BF21B2"/>
    <w:rsid w:val="00BF5918"/>
    <w:rsid w:val="00BF6405"/>
    <w:rsid w:val="00C00828"/>
    <w:rsid w:val="00C03190"/>
    <w:rsid w:val="00C040A4"/>
    <w:rsid w:val="00C04425"/>
    <w:rsid w:val="00C05BD6"/>
    <w:rsid w:val="00C06422"/>
    <w:rsid w:val="00C076E7"/>
    <w:rsid w:val="00C07C2A"/>
    <w:rsid w:val="00C07F02"/>
    <w:rsid w:val="00C11107"/>
    <w:rsid w:val="00C12E7A"/>
    <w:rsid w:val="00C135D2"/>
    <w:rsid w:val="00C13C71"/>
    <w:rsid w:val="00C15207"/>
    <w:rsid w:val="00C160A6"/>
    <w:rsid w:val="00C1736D"/>
    <w:rsid w:val="00C179E0"/>
    <w:rsid w:val="00C225E9"/>
    <w:rsid w:val="00C27CE0"/>
    <w:rsid w:val="00C30595"/>
    <w:rsid w:val="00C32E36"/>
    <w:rsid w:val="00C34CB6"/>
    <w:rsid w:val="00C4010E"/>
    <w:rsid w:val="00C42226"/>
    <w:rsid w:val="00C43338"/>
    <w:rsid w:val="00C43A6D"/>
    <w:rsid w:val="00C47393"/>
    <w:rsid w:val="00C503BF"/>
    <w:rsid w:val="00C51471"/>
    <w:rsid w:val="00C526F8"/>
    <w:rsid w:val="00C5354E"/>
    <w:rsid w:val="00C56B9B"/>
    <w:rsid w:val="00C56BD1"/>
    <w:rsid w:val="00C604E7"/>
    <w:rsid w:val="00C60C6F"/>
    <w:rsid w:val="00C61CBE"/>
    <w:rsid w:val="00C63F13"/>
    <w:rsid w:val="00C670BE"/>
    <w:rsid w:val="00C70156"/>
    <w:rsid w:val="00C7092C"/>
    <w:rsid w:val="00C71224"/>
    <w:rsid w:val="00C714AD"/>
    <w:rsid w:val="00C73CD3"/>
    <w:rsid w:val="00C767B5"/>
    <w:rsid w:val="00C82F6A"/>
    <w:rsid w:val="00C853C6"/>
    <w:rsid w:val="00C86C5A"/>
    <w:rsid w:val="00C92154"/>
    <w:rsid w:val="00C92986"/>
    <w:rsid w:val="00C9501C"/>
    <w:rsid w:val="00CA0CF3"/>
    <w:rsid w:val="00CA191E"/>
    <w:rsid w:val="00CA290D"/>
    <w:rsid w:val="00CA309C"/>
    <w:rsid w:val="00CA5336"/>
    <w:rsid w:val="00CB1D11"/>
    <w:rsid w:val="00CB23FF"/>
    <w:rsid w:val="00CB4227"/>
    <w:rsid w:val="00CB51D6"/>
    <w:rsid w:val="00CB630B"/>
    <w:rsid w:val="00CB792E"/>
    <w:rsid w:val="00CC03A9"/>
    <w:rsid w:val="00CC1F2A"/>
    <w:rsid w:val="00CC1F3D"/>
    <w:rsid w:val="00CC33D3"/>
    <w:rsid w:val="00CC3D12"/>
    <w:rsid w:val="00CC527D"/>
    <w:rsid w:val="00CC75DE"/>
    <w:rsid w:val="00CD0112"/>
    <w:rsid w:val="00CD0FB2"/>
    <w:rsid w:val="00CD1414"/>
    <w:rsid w:val="00CD1FB3"/>
    <w:rsid w:val="00CD3A87"/>
    <w:rsid w:val="00CD40C9"/>
    <w:rsid w:val="00CD4150"/>
    <w:rsid w:val="00CD60CA"/>
    <w:rsid w:val="00CE2A07"/>
    <w:rsid w:val="00CE2C18"/>
    <w:rsid w:val="00CE42CC"/>
    <w:rsid w:val="00CF14FA"/>
    <w:rsid w:val="00CF59B2"/>
    <w:rsid w:val="00CF66F4"/>
    <w:rsid w:val="00D004A7"/>
    <w:rsid w:val="00D07238"/>
    <w:rsid w:val="00D074DE"/>
    <w:rsid w:val="00D1007D"/>
    <w:rsid w:val="00D13899"/>
    <w:rsid w:val="00D138B3"/>
    <w:rsid w:val="00D13F8F"/>
    <w:rsid w:val="00D17722"/>
    <w:rsid w:val="00D25EA2"/>
    <w:rsid w:val="00D26D5F"/>
    <w:rsid w:val="00D31A79"/>
    <w:rsid w:val="00D3236C"/>
    <w:rsid w:val="00D32ECA"/>
    <w:rsid w:val="00D33B55"/>
    <w:rsid w:val="00D354B6"/>
    <w:rsid w:val="00D413F1"/>
    <w:rsid w:val="00D41B24"/>
    <w:rsid w:val="00D430CF"/>
    <w:rsid w:val="00D451B3"/>
    <w:rsid w:val="00D5012C"/>
    <w:rsid w:val="00D53ECC"/>
    <w:rsid w:val="00D54D64"/>
    <w:rsid w:val="00D57C54"/>
    <w:rsid w:val="00D6041F"/>
    <w:rsid w:val="00D63B3F"/>
    <w:rsid w:val="00D646BC"/>
    <w:rsid w:val="00D649D3"/>
    <w:rsid w:val="00D64FDF"/>
    <w:rsid w:val="00D67BA7"/>
    <w:rsid w:val="00D71A5E"/>
    <w:rsid w:val="00D72533"/>
    <w:rsid w:val="00D72883"/>
    <w:rsid w:val="00D7483C"/>
    <w:rsid w:val="00D759BF"/>
    <w:rsid w:val="00D75C01"/>
    <w:rsid w:val="00D7793E"/>
    <w:rsid w:val="00D779FD"/>
    <w:rsid w:val="00D77EEE"/>
    <w:rsid w:val="00D802A1"/>
    <w:rsid w:val="00D814B6"/>
    <w:rsid w:val="00D81B09"/>
    <w:rsid w:val="00D83970"/>
    <w:rsid w:val="00D842B3"/>
    <w:rsid w:val="00D84E62"/>
    <w:rsid w:val="00D84F99"/>
    <w:rsid w:val="00D84FD0"/>
    <w:rsid w:val="00D8532F"/>
    <w:rsid w:val="00D853A6"/>
    <w:rsid w:val="00D85889"/>
    <w:rsid w:val="00D85EF4"/>
    <w:rsid w:val="00D8702E"/>
    <w:rsid w:val="00D873C7"/>
    <w:rsid w:val="00D87470"/>
    <w:rsid w:val="00D87BA6"/>
    <w:rsid w:val="00D87BE0"/>
    <w:rsid w:val="00D903A0"/>
    <w:rsid w:val="00D90B5B"/>
    <w:rsid w:val="00D9448C"/>
    <w:rsid w:val="00D94550"/>
    <w:rsid w:val="00D94DCC"/>
    <w:rsid w:val="00D9597C"/>
    <w:rsid w:val="00D963A1"/>
    <w:rsid w:val="00DA0D6A"/>
    <w:rsid w:val="00DA1438"/>
    <w:rsid w:val="00DA596C"/>
    <w:rsid w:val="00DA66F1"/>
    <w:rsid w:val="00DB1936"/>
    <w:rsid w:val="00DB2BB7"/>
    <w:rsid w:val="00DB7089"/>
    <w:rsid w:val="00DC1089"/>
    <w:rsid w:val="00DC3CE5"/>
    <w:rsid w:val="00DC558A"/>
    <w:rsid w:val="00DD285D"/>
    <w:rsid w:val="00DD522D"/>
    <w:rsid w:val="00DD64C1"/>
    <w:rsid w:val="00DD666F"/>
    <w:rsid w:val="00DD68A5"/>
    <w:rsid w:val="00DD71E4"/>
    <w:rsid w:val="00DE282E"/>
    <w:rsid w:val="00DE2FA8"/>
    <w:rsid w:val="00DE4EAF"/>
    <w:rsid w:val="00DE5A23"/>
    <w:rsid w:val="00DE5EC4"/>
    <w:rsid w:val="00DF1783"/>
    <w:rsid w:val="00DF28A6"/>
    <w:rsid w:val="00DF29D0"/>
    <w:rsid w:val="00DF37E7"/>
    <w:rsid w:val="00DF5745"/>
    <w:rsid w:val="00DF71AD"/>
    <w:rsid w:val="00E00A18"/>
    <w:rsid w:val="00E01429"/>
    <w:rsid w:val="00E028F3"/>
    <w:rsid w:val="00E0308E"/>
    <w:rsid w:val="00E03F36"/>
    <w:rsid w:val="00E04628"/>
    <w:rsid w:val="00E05B41"/>
    <w:rsid w:val="00E14E87"/>
    <w:rsid w:val="00E15570"/>
    <w:rsid w:val="00E26DF8"/>
    <w:rsid w:val="00E30661"/>
    <w:rsid w:val="00E322DE"/>
    <w:rsid w:val="00E3273E"/>
    <w:rsid w:val="00E32884"/>
    <w:rsid w:val="00E36437"/>
    <w:rsid w:val="00E366D8"/>
    <w:rsid w:val="00E36F98"/>
    <w:rsid w:val="00E43240"/>
    <w:rsid w:val="00E4365E"/>
    <w:rsid w:val="00E45310"/>
    <w:rsid w:val="00E508ED"/>
    <w:rsid w:val="00E5352D"/>
    <w:rsid w:val="00E53793"/>
    <w:rsid w:val="00E53FAE"/>
    <w:rsid w:val="00E54672"/>
    <w:rsid w:val="00E549F2"/>
    <w:rsid w:val="00E55736"/>
    <w:rsid w:val="00E563B4"/>
    <w:rsid w:val="00E56C3F"/>
    <w:rsid w:val="00E60110"/>
    <w:rsid w:val="00E62E06"/>
    <w:rsid w:val="00E66516"/>
    <w:rsid w:val="00E667F8"/>
    <w:rsid w:val="00E67E85"/>
    <w:rsid w:val="00E70214"/>
    <w:rsid w:val="00E72407"/>
    <w:rsid w:val="00E739EB"/>
    <w:rsid w:val="00E750A9"/>
    <w:rsid w:val="00E82745"/>
    <w:rsid w:val="00E846FB"/>
    <w:rsid w:val="00E92B35"/>
    <w:rsid w:val="00E95015"/>
    <w:rsid w:val="00E96388"/>
    <w:rsid w:val="00E963C3"/>
    <w:rsid w:val="00E96AF5"/>
    <w:rsid w:val="00E96C23"/>
    <w:rsid w:val="00E97A9B"/>
    <w:rsid w:val="00EA087D"/>
    <w:rsid w:val="00EA4F63"/>
    <w:rsid w:val="00EA749D"/>
    <w:rsid w:val="00EB0B4E"/>
    <w:rsid w:val="00EB0DF8"/>
    <w:rsid w:val="00EB43DB"/>
    <w:rsid w:val="00EB4CFB"/>
    <w:rsid w:val="00EB6020"/>
    <w:rsid w:val="00EC0486"/>
    <w:rsid w:val="00EC2E02"/>
    <w:rsid w:val="00EC632B"/>
    <w:rsid w:val="00EC709C"/>
    <w:rsid w:val="00ED00E4"/>
    <w:rsid w:val="00ED1178"/>
    <w:rsid w:val="00ED1470"/>
    <w:rsid w:val="00ED1BDE"/>
    <w:rsid w:val="00ED4727"/>
    <w:rsid w:val="00ED50EB"/>
    <w:rsid w:val="00EE0410"/>
    <w:rsid w:val="00EE0708"/>
    <w:rsid w:val="00EE4672"/>
    <w:rsid w:val="00EE4F35"/>
    <w:rsid w:val="00EF03BF"/>
    <w:rsid w:val="00EF0B17"/>
    <w:rsid w:val="00EF3B35"/>
    <w:rsid w:val="00EF5665"/>
    <w:rsid w:val="00F014CB"/>
    <w:rsid w:val="00F021A8"/>
    <w:rsid w:val="00F07F32"/>
    <w:rsid w:val="00F13132"/>
    <w:rsid w:val="00F15DE8"/>
    <w:rsid w:val="00F16341"/>
    <w:rsid w:val="00F20347"/>
    <w:rsid w:val="00F212F8"/>
    <w:rsid w:val="00F21A88"/>
    <w:rsid w:val="00F21AB6"/>
    <w:rsid w:val="00F22C1A"/>
    <w:rsid w:val="00F24E41"/>
    <w:rsid w:val="00F31A00"/>
    <w:rsid w:val="00F32975"/>
    <w:rsid w:val="00F37E0F"/>
    <w:rsid w:val="00F37EBF"/>
    <w:rsid w:val="00F41AC0"/>
    <w:rsid w:val="00F427AF"/>
    <w:rsid w:val="00F42F54"/>
    <w:rsid w:val="00F43222"/>
    <w:rsid w:val="00F46D3F"/>
    <w:rsid w:val="00F47289"/>
    <w:rsid w:val="00F50A13"/>
    <w:rsid w:val="00F511F7"/>
    <w:rsid w:val="00F54006"/>
    <w:rsid w:val="00F5585E"/>
    <w:rsid w:val="00F56F6D"/>
    <w:rsid w:val="00F57A8A"/>
    <w:rsid w:val="00F60FBF"/>
    <w:rsid w:val="00F60FF6"/>
    <w:rsid w:val="00F61441"/>
    <w:rsid w:val="00F61F2A"/>
    <w:rsid w:val="00F6369C"/>
    <w:rsid w:val="00F6528F"/>
    <w:rsid w:val="00F654B8"/>
    <w:rsid w:val="00F65ACE"/>
    <w:rsid w:val="00F70981"/>
    <w:rsid w:val="00F70E53"/>
    <w:rsid w:val="00F71F6A"/>
    <w:rsid w:val="00F73500"/>
    <w:rsid w:val="00F74065"/>
    <w:rsid w:val="00F75441"/>
    <w:rsid w:val="00F80022"/>
    <w:rsid w:val="00F817F8"/>
    <w:rsid w:val="00F818C6"/>
    <w:rsid w:val="00F81DE8"/>
    <w:rsid w:val="00F85C70"/>
    <w:rsid w:val="00F91C8A"/>
    <w:rsid w:val="00F92A79"/>
    <w:rsid w:val="00F94180"/>
    <w:rsid w:val="00F95863"/>
    <w:rsid w:val="00F96F92"/>
    <w:rsid w:val="00F96FF8"/>
    <w:rsid w:val="00FA0562"/>
    <w:rsid w:val="00FA121C"/>
    <w:rsid w:val="00FA2DC1"/>
    <w:rsid w:val="00FA41BE"/>
    <w:rsid w:val="00FA4360"/>
    <w:rsid w:val="00FA5ECC"/>
    <w:rsid w:val="00FA62FB"/>
    <w:rsid w:val="00FA7AD9"/>
    <w:rsid w:val="00FA7BF7"/>
    <w:rsid w:val="00FB011B"/>
    <w:rsid w:val="00FB1725"/>
    <w:rsid w:val="00FB1962"/>
    <w:rsid w:val="00FB4663"/>
    <w:rsid w:val="00FB4893"/>
    <w:rsid w:val="00FB7822"/>
    <w:rsid w:val="00FC090F"/>
    <w:rsid w:val="00FC1307"/>
    <w:rsid w:val="00FC45D6"/>
    <w:rsid w:val="00FC4DCD"/>
    <w:rsid w:val="00FD1482"/>
    <w:rsid w:val="00FD5238"/>
    <w:rsid w:val="00FD5F4D"/>
    <w:rsid w:val="00FE461B"/>
    <w:rsid w:val="00FF09C2"/>
    <w:rsid w:val="00FF20ED"/>
    <w:rsid w:val="00FF3971"/>
    <w:rsid w:val="00FF46BF"/>
    <w:rsid w:val="00FF644C"/>
    <w:rsid w:val="00FF6F8F"/>
    <w:rsid w:val="00FF79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D114-9136-474B-B0D0-CC508A6C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link w:val="ExpSectionText1Char"/>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Cell bullets,Text,123 List Paragraph,List Paragraph1,Recommendation,List Paragraph11,List Paragraph111,L,F5 List Paragraph,Dot pt,CV text,Table text,Medium Grid 1 - Accent 21"/>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stylish,Appel note de bas de p,Footnote,(NECG) Footnote Reference,o,Style 3,Style 12,Style 124,Appel,Footnote Reference Number,Footnote Reference_LVL6,Footnote Reference_LVL61,nor"/>
    <w:basedOn w:val="DefaultParagraphFont"/>
    <w:uiPriority w:val="99"/>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fn"/>
    <w:basedOn w:val="Normal"/>
    <w:link w:val="FootnoteTextChar"/>
    <w:uiPriority w:val="99"/>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uiPriority w:val="99"/>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semiHidden/>
    <w:rsid w:val="00A277A6"/>
    <w:rPr>
      <w:sz w:val="16"/>
      <w:szCs w:val="16"/>
    </w:rPr>
  </w:style>
  <w:style w:type="paragraph" w:styleId="CommentText">
    <w:name w:val="annotation text"/>
    <w:basedOn w:val="Normal"/>
    <w:link w:val="CommentTextChar"/>
    <w:uiPriority w:val="99"/>
    <w:rsid w:val="00A277A6"/>
    <w:rPr>
      <w:sz w:val="20"/>
      <w:szCs w:val="20"/>
    </w:rPr>
  </w:style>
  <w:style w:type="character" w:customStyle="1" w:styleId="CommentTextChar">
    <w:name w:val="Comment Text Char"/>
    <w:basedOn w:val="DefaultParagraphFont"/>
    <w:link w:val="CommentText"/>
    <w:uiPriority w:val="99"/>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iPriority w:val="99"/>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uiPriority w:val="99"/>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Cell bullets Char,Text Char,123 List Paragraph Char,List Paragraph1 Char,Recommendation Char,List Paragraph11 Char,List Paragraph111 Char,L Char"/>
    <w:basedOn w:val="DefaultParagraphFont"/>
    <w:link w:val="ListParagraph"/>
    <w:uiPriority w:val="34"/>
    <w:qFormat/>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06698B"/>
    <w:pPr>
      <w:tabs>
        <w:tab w:val="center" w:pos="4513"/>
        <w:tab w:val="right" w:pos="9026"/>
      </w:tabs>
    </w:pPr>
  </w:style>
  <w:style w:type="character" w:customStyle="1" w:styleId="HeaderChar">
    <w:name w:val="Header Char"/>
    <w:basedOn w:val="DefaultParagraphFont"/>
    <w:link w:val="Header"/>
    <w:uiPriority w:val="99"/>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character" w:customStyle="1" w:styleId="ExpSectionText1Char">
    <w:name w:val="ExpSectionText(1) Char"/>
    <w:basedOn w:val="DefaultParagraphFont"/>
    <w:link w:val="ExpSectionText1"/>
    <w:rsid w:val="000044DA"/>
    <w:rPr>
      <w:rFonts w:ascii="Times New Roman" w:eastAsia="Times New Roman" w:hAnsi="Times New Roman"/>
      <w:sz w:val="22"/>
      <w:lang w:val="en-US" w:eastAsia="en-US"/>
    </w:rPr>
  </w:style>
  <w:style w:type="paragraph" w:styleId="BodyTextIndent2">
    <w:name w:val="Body Text Indent 2"/>
    <w:basedOn w:val="Normal"/>
    <w:link w:val="BodyTextIndent2Char"/>
    <w:uiPriority w:val="99"/>
    <w:semiHidden/>
    <w:unhideWhenUsed/>
    <w:rsid w:val="004C15D9"/>
    <w:pPr>
      <w:spacing w:after="120" w:line="480" w:lineRule="auto"/>
      <w:ind w:left="283"/>
    </w:pPr>
  </w:style>
  <w:style w:type="character" w:customStyle="1" w:styleId="BodyTextIndent2Char">
    <w:name w:val="Body Text Indent 2 Char"/>
    <w:basedOn w:val="DefaultParagraphFont"/>
    <w:link w:val="BodyTextIndent2"/>
    <w:uiPriority w:val="99"/>
    <w:semiHidden/>
    <w:rsid w:val="004C15D9"/>
    <w:rPr>
      <w:rFonts w:ascii="Times New Roman" w:eastAsia="Times New Roman" w:hAnsi="Times New Roman"/>
      <w:sz w:val="24"/>
      <w:szCs w:val="24"/>
      <w:lang w:val="en-US" w:eastAsia="en-US"/>
    </w:rPr>
  </w:style>
  <w:style w:type="paragraph" w:customStyle="1" w:styleId="SectionHeading">
    <w:name w:val="SectionHeading"/>
    <w:basedOn w:val="Normal"/>
    <w:next w:val="Normal"/>
    <w:link w:val="SectionHeadingChar"/>
    <w:rsid w:val="004C15D9"/>
    <w:pPr>
      <w:keepNext/>
      <w:keepLines/>
      <w:spacing w:before="240"/>
    </w:pPr>
    <w:rPr>
      <w:b/>
      <w:sz w:val="26"/>
      <w:szCs w:val="20"/>
      <w:lang w:val="en-GB"/>
    </w:rPr>
  </w:style>
  <w:style w:type="character" w:customStyle="1" w:styleId="SectionHeadingChar">
    <w:name w:val="SectionHeading Char"/>
    <w:basedOn w:val="DefaultParagraphFont"/>
    <w:link w:val="SectionHeading"/>
    <w:rsid w:val="004C15D9"/>
    <w:rPr>
      <w:rFonts w:ascii="Times New Roman" w:eastAsia="Times New Roman" w:hAnsi="Times New Roman"/>
      <w:b/>
      <w:sz w:val="26"/>
      <w:lang w:val="en-GB" w:eastAsia="en-US"/>
    </w:rPr>
  </w:style>
  <w:style w:type="paragraph" w:customStyle="1" w:styleId="ContentinTable">
    <w:name w:val="Content in Table"/>
    <w:basedOn w:val="Normal"/>
    <w:uiPriority w:val="99"/>
    <w:rsid w:val="00CF66F4"/>
    <w:pPr>
      <w:autoSpaceDE w:val="0"/>
      <w:autoSpaceDN w:val="0"/>
      <w:spacing w:before="120" w:after="240" w:line="276" w:lineRule="auto"/>
      <w:ind w:right="57"/>
      <w:jc w:val="both"/>
    </w:pPr>
    <w:rPr>
      <w:rFonts w:eastAsiaTheme="minorHAnsi"/>
      <w:sz w:val="28"/>
      <w:szCs w:val="28"/>
      <w:lang w:val="en-SG"/>
    </w:rPr>
  </w:style>
  <w:style w:type="character" w:customStyle="1" w:styleId="s12">
    <w:name w:val="s12"/>
    <w:basedOn w:val="DefaultParagraphFont"/>
    <w:rsid w:val="007F0BB5"/>
  </w:style>
  <w:style w:type="character" w:customStyle="1" w:styleId="s11">
    <w:name w:val="s11"/>
    <w:basedOn w:val="DefaultParagraphFont"/>
    <w:rsid w:val="007F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4750">
      <w:bodyDiv w:val="1"/>
      <w:marLeft w:val="0"/>
      <w:marRight w:val="0"/>
      <w:marTop w:val="0"/>
      <w:marBottom w:val="0"/>
      <w:divBdr>
        <w:top w:val="none" w:sz="0" w:space="0" w:color="auto"/>
        <w:left w:val="none" w:sz="0" w:space="0" w:color="auto"/>
        <w:bottom w:val="none" w:sz="0" w:space="0" w:color="auto"/>
        <w:right w:val="none" w:sz="0" w:space="0" w:color="auto"/>
      </w:divBdr>
    </w:div>
    <w:div w:id="155726072">
      <w:bodyDiv w:val="1"/>
      <w:marLeft w:val="0"/>
      <w:marRight w:val="0"/>
      <w:marTop w:val="0"/>
      <w:marBottom w:val="0"/>
      <w:divBdr>
        <w:top w:val="none" w:sz="0" w:space="0" w:color="auto"/>
        <w:left w:val="none" w:sz="0" w:space="0" w:color="auto"/>
        <w:bottom w:val="none" w:sz="0" w:space="0" w:color="auto"/>
        <w:right w:val="none" w:sz="0" w:space="0" w:color="auto"/>
      </w:divBdr>
    </w:div>
    <w:div w:id="264312599">
      <w:bodyDiv w:val="1"/>
      <w:marLeft w:val="0"/>
      <w:marRight w:val="0"/>
      <w:marTop w:val="0"/>
      <w:marBottom w:val="0"/>
      <w:divBdr>
        <w:top w:val="none" w:sz="0" w:space="0" w:color="auto"/>
        <w:left w:val="none" w:sz="0" w:space="0" w:color="auto"/>
        <w:bottom w:val="none" w:sz="0" w:space="0" w:color="auto"/>
        <w:right w:val="none" w:sz="0" w:space="0" w:color="auto"/>
      </w:divBdr>
    </w:div>
    <w:div w:id="318274174">
      <w:bodyDiv w:val="1"/>
      <w:marLeft w:val="0"/>
      <w:marRight w:val="0"/>
      <w:marTop w:val="0"/>
      <w:marBottom w:val="0"/>
      <w:divBdr>
        <w:top w:val="none" w:sz="0" w:space="0" w:color="auto"/>
        <w:left w:val="none" w:sz="0" w:space="0" w:color="auto"/>
        <w:bottom w:val="none" w:sz="0" w:space="0" w:color="auto"/>
        <w:right w:val="none" w:sz="0" w:space="0" w:color="auto"/>
      </w:divBdr>
    </w:div>
    <w:div w:id="376511205">
      <w:bodyDiv w:val="1"/>
      <w:marLeft w:val="0"/>
      <w:marRight w:val="0"/>
      <w:marTop w:val="0"/>
      <w:marBottom w:val="0"/>
      <w:divBdr>
        <w:top w:val="none" w:sz="0" w:space="0" w:color="auto"/>
        <w:left w:val="none" w:sz="0" w:space="0" w:color="auto"/>
        <w:bottom w:val="none" w:sz="0" w:space="0" w:color="auto"/>
        <w:right w:val="none" w:sz="0" w:space="0" w:color="auto"/>
      </w:divBdr>
      <w:divsChild>
        <w:div w:id="144511178">
          <w:marLeft w:val="0"/>
          <w:marRight w:val="0"/>
          <w:marTop w:val="0"/>
          <w:marBottom w:val="0"/>
          <w:divBdr>
            <w:top w:val="none" w:sz="0" w:space="0" w:color="auto"/>
            <w:left w:val="none" w:sz="0" w:space="0" w:color="auto"/>
            <w:bottom w:val="none" w:sz="0" w:space="0" w:color="auto"/>
            <w:right w:val="none" w:sz="0" w:space="0" w:color="auto"/>
          </w:divBdr>
          <w:divsChild>
            <w:div w:id="38405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94095318">
      <w:bodyDiv w:val="1"/>
      <w:marLeft w:val="0"/>
      <w:marRight w:val="0"/>
      <w:marTop w:val="0"/>
      <w:marBottom w:val="0"/>
      <w:divBdr>
        <w:top w:val="none" w:sz="0" w:space="0" w:color="auto"/>
        <w:left w:val="none" w:sz="0" w:space="0" w:color="auto"/>
        <w:bottom w:val="none" w:sz="0" w:space="0" w:color="auto"/>
        <w:right w:val="none" w:sz="0" w:space="0" w:color="auto"/>
      </w:divBdr>
    </w:div>
    <w:div w:id="823811632">
      <w:bodyDiv w:val="1"/>
      <w:marLeft w:val="0"/>
      <w:marRight w:val="0"/>
      <w:marTop w:val="0"/>
      <w:marBottom w:val="0"/>
      <w:divBdr>
        <w:top w:val="none" w:sz="0" w:space="0" w:color="auto"/>
        <w:left w:val="none" w:sz="0" w:space="0" w:color="auto"/>
        <w:bottom w:val="none" w:sz="0" w:space="0" w:color="auto"/>
        <w:right w:val="none" w:sz="0" w:space="0" w:color="auto"/>
      </w:divBdr>
    </w:div>
    <w:div w:id="921571491">
      <w:bodyDiv w:val="1"/>
      <w:marLeft w:val="0"/>
      <w:marRight w:val="0"/>
      <w:marTop w:val="0"/>
      <w:marBottom w:val="0"/>
      <w:divBdr>
        <w:top w:val="none" w:sz="0" w:space="0" w:color="auto"/>
        <w:left w:val="none" w:sz="0" w:space="0" w:color="auto"/>
        <w:bottom w:val="none" w:sz="0" w:space="0" w:color="auto"/>
        <w:right w:val="none" w:sz="0" w:space="0" w:color="auto"/>
      </w:divBdr>
    </w:div>
    <w:div w:id="1284574014">
      <w:bodyDiv w:val="1"/>
      <w:marLeft w:val="0"/>
      <w:marRight w:val="0"/>
      <w:marTop w:val="0"/>
      <w:marBottom w:val="0"/>
      <w:divBdr>
        <w:top w:val="none" w:sz="0" w:space="0" w:color="auto"/>
        <w:left w:val="none" w:sz="0" w:space="0" w:color="auto"/>
        <w:bottom w:val="none" w:sz="0" w:space="0" w:color="auto"/>
        <w:right w:val="none" w:sz="0" w:space="0" w:color="auto"/>
      </w:divBdr>
    </w:div>
    <w:div w:id="1300653131">
      <w:bodyDiv w:val="1"/>
      <w:marLeft w:val="0"/>
      <w:marRight w:val="0"/>
      <w:marTop w:val="0"/>
      <w:marBottom w:val="0"/>
      <w:divBdr>
        <w:top w:val="none" w:sz="0" w:space="0" w:color="auto"/>
        <w:left w:val="none" w:sz="0" w:space="0" w:color="auto"/>
        <w:bottom w:val="none" w:sz="0" w:space="0" w:color="auto"/>
        <w:right w:val="none" w:sz="0" w:space="0" w:color="auto"/>
      </w:divBdr>
    </w:div>
    <w:div w:id="1306471806">
      <w:bodyDiv w:val="1"/>
      <w:marLeft w:val="0"/>
      <w:marRight w:val="0"/>
      <w:marTop w:val="0"/>
      <w:marBottom w:val="0"/>
      <w:divBdr>
        <w:top w:val="none" w:sz="0" w:space="0" w:color="auto"/>
        <w:left w:val="none" w:sz="0" w:space="0" w:color="auto"/>
        <w:bottom w:val="none" w:sz="0" w:space="0" w:color="auto"/>
        <w:right w:val="none" w:sz="0" w:space="0" w:color="auto"/>
      </w:divBdr>
    </w:div>
    <w:div w:id="1408068584">
      <w:bodyDiv w:val="1"/>
      <w:marLeft w:val="0"/>
      <w:marRight w:val="0"/>
      <w:marTop w:val="0"/>
      <w:marBottom w:val="0"/>
      <w:divBdr>
        <w:top w:val="none" w:sz="0" w:space="0" w:color="auto"/>
        <w:left w:val="none" w:sz="0" w:space="0" w:color="auto"/>
        <w:bottom w:val="none" w:sz="0" w:space="0" w:color="auto"/>
        <w:right w:val="none" w:sz="0" w:space="0" w:color="auto"/>
      </w:divBdr>
    </w:div>
    <w:div w:id="1621381346">
      <w:bodyDiv w:val="1"/>
      <w:marLeft w:val="0"/>
      <w:marRight w:val="0"/>
      <w:marTop w:val="0"/>
      <w:marBottom w:val="0"/>
      <w:divBdr>
        <w:top w:val="none" w:sz="0" w:space="0" w:color="auto"/>
        <w:left w:val="none" w:sz="0" w:space="0" w:color="auto"/>
        <w:bottom w:val="none" w:sz="0" w:space="0" w:color="auto"/>
        <w:right w:val="none" w:sz="0" w:space="0" w:color="auto"/>
      </w:divBdr>
    </w:div>
    <w:div w:id="1657030748">
      <w:bodyDiv w:val="1"/>
      <w:marLeft w:val="0"/>
      <w:marRight w:val="0"/>
      <w:marTop w:val="0"/>
      <w:marBottom w:val="0"/>
      <w:divBdr>
        <w:top w:val="none" w:sz="0" w:space="0" w:color="auto"/>
        <w:left w:val="none" w:sz="0" w:space="0" w:color="auto"/>
        <w:bottom w:val="none" w:sz="0" w:space="0" w:color="auto"/>
        <w:right w:val="none" w:sz="0" w:space="0" w:color="auto"/>
      </w:divBdr>
    </w:div>
    <w:div w:id="1662466150">
      <w:bodyDiv w:val="1"/>
      <w:marLeft w:val="0"/>
      <w:marRight w:val="0"/>
      <w:marTop w:val="0"/>
      <w:marBottom w:val="0"/>
      <w:divBdr>
        <w:top w:val="none" w:sz="0" w:space="0" w:color="auto"/>
        <w:left w:val="none" w:sz="0" w:space="0" w:color="auto"/>
        <w:bottom w:val="none" w:sz="0" w:space="0" w:color="auto"/>
        <w:right w:val="none" w:sz="0" w:space="0" w:color="auto"/>
      </w:divBdr>
    </w:div>
    <w:div w:id="1699617517">
      <w:bodyDiv w:val="1"/>
      <w:marLeft w:val="0"/>
      <w:marRight w:val="0"/>
      <w:marTop w:val="0"/>
      <w:marBottom w:val="0"/>
      <w:divBdr>
        <w:top w:val="none" w:sz="0" w:space="0" w:color="auto"/>
        <w:left w:val="none" w:sz="0" w:space="0" w:color="auto"/>
        <w:bottom w:val="none" w:sz="0" w:space="0" w:color="auto"/>
        <w:right w:val="none" w:sz="0" w:space="0" w:color="auto"/>
      </w:divBdr>
    </w:div>
    <w:div w:id="1812288720">
      <w:bodyDiv w:val="1"/>
      <w:marLeft w:val="0"/>
      <w:marRight w:val="0"/>
      <w:marTop w:val="0"/>
      <w:marBottom w:val="0"/>
      <w:divBdr>
        <w:top w:val="none" w:sz="0" w:space="0" w:color="auto"/>
        <w:left w:val="none" w:sz="0" w:space="0" w:color="auto"/>
        <w:bottom w:val="none" w:sz="0" w:space="0" w:color="auto"/>
        <w:right w:val="none" w:sz="0" w:space="0" w:color="auto"/>
      </w:divBdr>
    </w:div>
    <w:div w:id="2138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0" ma:contentTypeDescription="Create a new document." ma:contentTypeScope="" ma:versionID="588dfc757ca5a2faf90e701da2391a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CF40A-BFDB-417E-B8A3-7F3F3409F7C6}">
  <ds:schemaRefs>
    <ds:schemaRef ds:uri="http://schemas.microsoft.com/sharepoint/v3/contenttype/forms"/>
  </ds:schemaRefs>
</ds:datastoreItem>
</file>

<file path=customXml/itemProps2.xml><?xml version="1.0" encoding="utf-8"?>
<ds:datastoreItem xmlns:ds="http://schemas.openxmlformats.org/officeDocument/2006/customXml" ds:itemID="{B75332D8-7B07-4713-A80B-5A30C4E9B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8614FD-4BD7-46E9-AF9F-8F330D6EEC37}">
  <ds:schemaRefs>
    <ds:schemaRef ds:uri="http://schemas.microsoft.com/office/2006/metadata/properties"/>
  </ds:schemaRefs>
</ds:datastoreItem>
</file>

<file path=customXml/itemProps4.xml><?xml version="1.0" encoding="utf-8"?>
<ds:datastoreItem xmlns:ds="http://schemas.openxmlformats.org/officeDocument/2006/customXml" ds:itemID="{8E5FA1CA-B12C-44D7-A0FE-4AD7822D4831}">
  <ds:schemaRefs>
    <ds:schemaRef ds:uri="http://schemas.openxmlformats.org/officeDocument/2006/bibliography"/>
  </ds:schemaRefs>
</ds:datastoreItem>
</file>

<file path=customXml/itemProps5.xml><?xml version="1.0" encoding="utf-8"?>
<ds:datastoreItem xmlns:ds="http://schemas.openxmlformats.org/officeDocument/2006/customXml" ds:itemID="{96CB1643-FBDE-4B02-8A52-E72D150B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SUMMARY TABLE</vt:lpstr>
    </vt:vector>
  </TitlesOfParts>
  <Company>Singapore Government</Company>
  <LinksUpToDate>false</LinksUpToDate>
  <CharactersWithSpaces>18538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TABLE</dc:title>
  <dc:creator>Lei Ping TAN (MOF)</dc:creator>
  <cp:lastModifiedBy>Syed SALEH (MCI)</cp:lastModifiedBy>
  <cp:revision>1</cp:revision>
  <cp:lastPrinted>2015-06-26T05:36:00Z</cp:lastPrinted>
  <dcterms:created xsi:type="dcterms:W3CDTF">2017-06-19T09:19:00Z</dcterms:created>
  <dcterms:modified xsi:type="dcterms:W3CDTF">2017-06-19T09:19:00Z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0x01010007FDAFEC6B66164787F271A73119E70D</vt:lpwstr>
  </property>
</Properties>
</file>